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2367A" w14:textId="54F500C6" w:rsidR="00106E00" w:rsidRPr="00840EF5" w:rsidRDefault="00106E00" w:rsidP="00106E00">
      <w:pPr>
        <w:pStyle w:val="Header"/>
        <w:tabs>
          <w:tab w:val="center" w:pos="4536"/>
          <w:tab w:val="right" w:pos="10440"/>
        </w:tabs>
        <w:ind w:right="-58"/>
        <w:rPr>
          <w:rFonts w:asciiTheme="minorHAnsi" w:hAnsiTheme="minorHAnsi" w:cs="Arial"/>
          <w:bCs/>
          <w:sz w:val="28"/>
          <w:szCs w:val="24"/>
          <w:lang w:val="en-US" w:eastAsia="zh-TW"/>
        </w:rPr>
      </w:pPr>
      <w:bookmarkStart w:id="0" w:name="historyclause"/>
      <w:bookmarkStart w:id="1" w:name="_Toc383764588"/>
      <w:r w:rsidRPr="00840EF5">
        <w:rPr>
          <w:rFonts w:asciiTheme="minorHAnsi" w:hAnsiTheme="minorHAnsi" w:cs="Arial"/>
          <w:bCs/>
          <w:sz w:val="28"/>
        </w:rPr>
        <w:t xml:space="preserve">3GPP TSG RAN WG1 </w:t>
      </w:r>
      <w:r w:rsidRPr="00840EF5">
        <w:rPr>
          <w:rFonts w:asciiTheme="minorHAnsi" w:hAnsiTheme="minorHAnsi"/>
          <w:lang w:val="en-US" w:eastAsia="zh-TW"/>
        </w:rPr>
        <mc:AlternateContent>
          <mc:Choice Requires="wps">
            <w:drawing>
              <wp:anchor distT="0" distB="0" distL="114300" distR="114300" simplePos="0" relativeHeight="251659264" behindDoc="0" locked="1" layoutInCell="0" allowOverlap="1" wp14:anchorId="591FB546" wp14:editId="307A1A4B">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E4C7D5A">
              <v:shape w14:anchorId="408D14D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840EF5">
        <w:rPr>
          <w:rFonts w:asciiTheme="minorHAnsi" w:hAnsiTheme="minorHAnsi" w:cs="Arial"/>
          <w:bCs/>
          <w:sz w:val="28"/>
        </w:rPr>
        <w:t xml:space="preserve">Meeting #96               </w:t>
      </w:r>
      <w:r w:rsidRPr="00840EF5">
        <w:rPr>
          <w:rFonts w:asciiTheme="minorHAnsi" w:hAnsiTheme="minorHAnsi" w:cs="Arial"/>
          <w:bCs/>
          <w:sz w:val="28"/>
          <w:szCs w:val="24"/>
          <w:lang w:val="en-US" w:eastAsia="zh-TW"/>
        </w:rPr>
        <w:t xml:space="preserve">                                         </w:t>
      </w:r>
      <w:r w:rsidR="00840EF5">
        <w:rPr>
          <w:rFonts w:asciiTheme="minorHAnsi" w:hAnsiTheme="minorHAnsi" w:cs="Arial"/>
          <w:bCs/>
          <w:sz w:val="28"/>
          <w:szCs w:val="24"/>
          <w:lang w:val="en-US" w:eastAsia="zh-TW"/>
        </w:rPr>
        <w:t xml:space="preserve">                         </w:t>
      </w:r>
      <w:r w:rsidRPr="00840EF5">
        <w:rPr>
          <w:rFonts w:asciiTheme="minorHAnsi" w:hAnsiTheme="minorHAnsi" w:cs="Arial"/>
          <w:bCs/>
          <w:sz w:val="28"/>
        </w:rPr>
        <w:t>R1-190180</w:t>
      </w:r>
      <w:r w:rsidR="00840EF5" w:rsidRPr="00840EF5">
        <w:rPr>
          <w:rFonts w:asciiTheme="minorHAnsi" w:hAnsiTheme="minorHAnsi" w:cs="Arial"/>
          <w:bCs/>
          <w:sz w:val="28"/>
        </w:rPr>
        <w:t>7</w:t>
      </w:r>
    </w:p>
    <w:p w14:paraId="31C09EAB" w14:textId="77777777" w:rsidR="00106E00" w:rsidRPr="00840EF5" w:rsidRDefault="00106E00" w:rsidP="00106E00">
      <w:pPr>
        <w:pStyle w:val="Header"/>
        <w:tabs>
          <w:tab w:val="center" w:pos="4536"/>
          <w:tab w:val="right" w:pos="8280"/>
          <w:tab w:val="right" w:pos="9781"/>
        </w:tabs>
        <w:spacing w:after="240"/>
        <w:ind w:right="-58"/>
        <w:rPr>
          <w:rFonts w:asciiTheme="minorHAnsi" w:hAnsiTheme="minorHAnsi" w:cs="Arial"/>
          <w:bCs/>
          <w:sz w:val="28"/>
          <w:szCs w:val="24"/>
          <w:lang w:eastAsia="zh-TW"/>
        </w:rPr>
      </w:pPr>
      <w:r w:rsidRPr="00840EF5">
        <w:rPr>
          <w:rFonts w:asciiTheme="minorHAnsi" w:hAnsiTheme="minorHAnsi" w:cs="Arial"/>
          <w:bCs/>
          <w:sz w:val="28"/>
        </w:rPr>
        <w:t>Athens, Greece, 25</w:t>
      </w:r>
      <w:r w:rsidRPr="00840EF5">
        <w:rPr>
          <w:rFonts w:asciiTheme="minorHAnsi" w:hAnsiTheme="minorHAnsi" w:cs="Arial"/>
          <w:bCs/>
          <w:sz w:val="28"/>
          <w:vertAlign w:val="superscript"/>
        </w:rPr>
        <w:t>th</w:t>
      </w:r>
      <w:r w:rsidRPr="00840EF5">
        <w:rPr>
          <w:rFonts w:asciiTheme="minorHAnsi" w:hAnsiTheme="minorHAnsi" w:cs="Arial"/>
          <w:bCs/>
          <w:sz w:val="28"/>
        </w:rPr>
        <w:t xml:space="preserve"> Feb. - 1</w:t>
      </w:r>
      <w:r w:rsidRPr="00840EF5">
        <w:rPr>
          <w:rFonts w:asciiTheme="minorHAnsi" w:hAnsiTheme="minorHAnsi" w:cs="Arial"/>
          <w:bCs/>
          <w:sz w:val="28"/>
          <w:vertAlign w:val="superscript"/>
        </w:rPr>
        <w:t>st</w:t>
      </w:r>
      <w:r w:rsidRPr="00840EF5">
        <w:rPr>
          <w:rFonts w:asciiTheme="minorHAnsi" w:hAnsiTheme="minorHAnsi" w:cs="Arial"/>
          <w:bCs/>
          <w:sz w:val="28"/>
        </w:rPr>
        <w:t xml:space="preserve"> Mar., 2019 </w:t>
      </w:r>
    </w:p>
    <w:p w14:paraId="4593D060" w14:textId="6C1A1736" w:rsidR="00106E00" w:rsidRPr="00840EF5" w:rsidRDefault="00106E00" w:rsidP="00106E00">
      <w:pPr>
        <w:pStyle w:val="Header"/>
        <w:tabs>
          <w:tab w:val="center" w:pos="4536"/>
          <w:tab w:val="right" w:pos="8280"/>
          <w:tab w:val="right" w:pos="9781"/>
        </w:tabs>
        <w:ind w:right="-58"/>
        <w:rPr>
          <w:rFonts w:asciiTheme="minorHAnsi" w:hAnsiTheme="minorHAnsi" w:cs="Arial"/>
          <w:bCs/>
          <w:sz w:val="28"/>
          <w:szCs w:val="24"/>
          <w:lang w:val="en-US" w:eastAsia="zh-TW"/>
        </w:rPr>
      </w:pPr>
      <w:r w:rsidRPr="00840EF5">
        <w:rPr>
          <w:rFonts w:asciiTheme="minorHAnsi" w:eastAsia="MS Mincho" w:hAnsiTheme="minorHAnsi" w:cs="Arial"/>
          <w:bCs/>
          <w:sz w:val="28"/>
          <w:szCs w:val="24"/>
          <w:lang w:val="en-US"/>
        </w:rPr>
        <w:t>Agenda Item:</w:t>
      </w:r>
      <w:r w:rsidRPr="00840EF5">
        <w:rPr>
          <w:rFonts w:asciiTheme="minorHAnsi" w:hAnsiTheme="minorHAnsi" w:cs="Arial"/>
          <w:bCs/>
          <w:sz w:val="28"/>
          <w:szCs w:val="24"/>
          <w:lang w:val="en-US" w:eastAsia="zh-TW"/>
        </w:rPr>
        <w:t xml:space="preserve"> </w:t>
      </w:r>
      <w:r w:rsidR="00840EF5" w:rsidRPr="00840EF5">
        <w:rPr>
          <w:rFonts w:asciiTheme="minorHAnsi" w:hAnsiTheme="minorHAnsi" w:cs="Arial"/>
          <w:bCs/>
          <w:sz w:val="28"/>
          <w:szCs w:val="24"/>
          <w:lang w:val="en-US" w:eastAsia="zh-TW"/>
        </w:rPr>
        <w:t>7.2.13.4</w:t>
      </w:r>
    </w:p>
    <w:p w14:paraId="52ADCCF0" w14:textId="77777777" w:rsidR="00106E00" w:rsidRPr="00840EF5" w:rsidRDefault="00106E00" w:rsidP="00106E00">
      <w:pPr>
        <w:pStyle w:val="Header"/>
        <w:tabs>
          <w:tab w:val="center" w:pos="4536"/>
          <w:tab w:val="right" w:pos="8280"/>
          <w:tab w:val="right" w:pos="9781"/>
        </w:tabs>
        <w:ind w:right="-58"/>
        <w:rPr>
          <w:rFonts w:asciiTheme="minorHAnsi" w:eastAsia="MS Mincho" w:hAnsiTheme="minorHAnsi" w:cs="Arial"/>
          <w:bCs/>
          <w:sz w:val="28"/>
          <w:szCs w:val="24"/>
          <w:lang w:val="en-US"/>
        </w:rPr>
      </w:pPr>
      <w:r w:rsidRPr="00840EF5">
        <w:rPr>
          <w:rFonts w:asciiTheme="minorHAnsi" w:eastAsia="MS Mincho" w:hAnsiTheme="minorHAnsi" w:cs="Arial"/>
          <w:bCs/>
          <w:sz w:val="28"/>
          <w:szCs w:val="24"/>
          <w:lang w:val="en-US"/>
        </w:rPr>
        <w:t>Source:</w:t>
      </w:r>
      <w:r w:rsidRPr="00840EF5">
        <w:rPr>
          <w:rFonts w:asciiTheme="minorHAnsi" w:hAnsiTheme="minorHAnsi" w:cs="Arial"/>
          <w:bCs/>
          <w:sz w:val="28"/>
          <w:szCs w:val="24"/>
          <w:lang w:val="en-US" w:eastAsia="zh-TW"/>
        </w:rPr>
        <w:t xml:space="preserve"> </w:t>
      </w:r>
      <w:r w:rsidRPr="00840EF5">
        <w:rPr>
          <w:rFonts w:asciiTheme="minorHAnsi" w:eastAsia="MS Mincho" w:hAnsiTheme="minorHAnsi" w:cs="Arial"/>
          <w:bCs/>
          <w:sz w:val="28"/>
          <w:szCs w:val="24"/>
          <w:lang w:val="en-US"/>
        </w:rPr>
        <w:t>MediaTek Inc.</w:t>
      </w:r>
    </w:p>
    <w:p w14:paraId="709BF9C3" w14:textId="012E1723" w:rsidR="00106E00" w:rsidRPr="00840EF5" w:rsidRDefault="00106E00" w:rsidP="00106E00">
      <w:pPr>
        <w:pStyle w:val="Header"/>
        <w:tabs>
          <w:tab w:val="center" w:pos="4536"/>
          <w:tab w:val="right" w:pos="8280"/>
          <w:tab w:val="right" w:pos="9781"/>
        </w:tabs>
        <w:ind w:left="770" w:right="-58" w:hanging="770"/>
        <w:rPr>
          <w:rFonts w:asciiTheme="minorHAnsi" w:hAnsiTheme="minorHAnsi" w:cs="Arial"/>
          <w:bCs/>
          <w:sz w:val="28"/>
          <w:szCs w:val="24"/>
          <w:lang w:val="en-US" w:eastAsia="zh-TW"/>
        </w:rPr>
      </w:pPr>
      <w:r w:rsidRPr="00840EF5">
        <w:rPr>
          <w:rFonts w:asciiTheme="minorHAnsi" w:eastAsia="MS Mincho" w:hAnsiTheme="minorHAnsi" w:cs="Arial"/>
          <w:bCs/>
          <w:sz w:val="28"/>
          <w:szCs w:val="24"/>
          <w:lang w:val="en-US"/>
        </w:rPr>
        <w:t>Title:</w:t>
      </w:r>
      <w:r w:rsidRPr="00840EF5">
        <w:rPr>
          <w:rFonts w:asciiTheme="minorHAnsi" w:hAnsiTheme="minorHAnsi" w:cs="Arial"/>
          <w:bCs/>
          <w:sz w:val="28"/>
          <w:szCs w:val="24"/>
          <w:lang w:val="en-US" w:eastAsia="zh-TW"/>
        </w:rPr>
        <w:t xml:space="preserve"> </w:t>
      </w:r>
      <w:r w:rsidR="00840EF5" w:rsidRPr="00840EF5">
        <w:rPr>
          <w:rFonts w:asciiTheme="minorHAnsi" w:hAnsiTheme="minorHAnsi" w:cs="Arial"/>
          <w:bCs/>
          <w:sz w:val="28"/>
          <w:szCs w:val="24"/>
          <w:lang w:val="en-US" w:eastAsia="zh-TW"/>
        </w:rPr>
        <w:t>Efficient SCell Access Switching for NR</w:t>
      </w:r>
    </w:p>
    <w:p w14:paraId="2AC9A13B" w14:textId="77777777" w:rsidR="00106E00" w:rsidRPr="00840EF5" w:rsidRDefault="00106E00" w:rsidP="00106E00">
      <w:pPr>
        <w:pStyle w:val="Header"/>
        <w:tabs>
          <w:tab w:val="center" w:pos="4536"/>
          <w:tab w:val="right" w:pos="8280"/>
          <w:tab w:val="right" w:pos="9781"/>
        </w:tabs>
        <w:spacing w:after="120"/>
        <w:ind w:right="-58"/>
        <w:rPr>
          <w:rFonts w:asciiTheme="minorHAnsi" w:eastAsia="MS Mincho" w:hAnsiTheme="minorHAnsi" w:cs="Arial"/>
          <w:bCs/>
          <w:sz w:val="28"/>
          <w:szCs w:val="24"/>
          <w:lang w:val="en-US"/>
        </w:rPr>
      </w:pPr>
      <w:r w:rsidRPr="00840EF5">
        <w:rPr>
          <w:rFonts w:asciiTheme="minorHAnsi" w:eastAsia="MS Mincho" w:hAnsiTheme="minorHAnsi" w:cs="Arial"/>
          <w:bCs/>
          <w:sz w:val="28"/>
          <w:szCs w:val="24"/>
          <w:lang w:val="en-US"/>
        </w:rPr>
        <w:t>Document for:</w:t>
      </w:r>
      <w:r w:rsidRPr="00840EF5">
        <w:rPr>
          <w:rFonts w:asciiTheme="minorHAnsi" w:hAnsiTheme="minorHAnsi" w:cs="Arial"/>
          <w:bCs/>
          <w:sz w:val="28"/>
          <w:szCs w:val="24"/>
          <w:lang w:val="en-US" w:eastAsia="zh-TW"/>
        </w:rPr>
        <w:t xml:space="preserve"> </w:t>
      </w:r>
      <w:r w:rsidRPr="00840EF5">
        <w:rPr>
          <w:rFonts w:asciiTheme="minorHAnsi" w:eastAsia="MS Mincho" w:hAnsiTheme="minorHAnsi" w:cs="Arial"/>
          <w:bCs/>
          <w:sz w:val="28"/>
          <w:szCs w:val="24"/>
          <w:lang w:val="en-US"/>
        </w:rPr>
        <w:t>Discussion and Decision</w:t>
      </w:r>
    </w:p>
    <w:bookmarkEnd w:id="0"/>
    <w:bookmarkEnd w:id="1"/>
    <w:p w14:paraId="143B23C9" w14:textId="77777777" w:rsidR="00106E00" w:rsidRPr="00840EF5" w:rsidRDefault="00106E00" w:rsidP="00106E00">
      <w:pPr>
        <w:pStyle w:val="Heading1"/>
        <w:rPr>
          <w:rFonts w:asciiTheme="minorHAnsi" w:hAnsiTheme="minorHAnsi"/>
        </w:rPr>
      </w:pPr>
      <w:r w:rsidRPr="00840EF5">
        <w:rPr>
          <w:rFonts w:asciiTheme="minorHAnsi" w:hAnsiTheme="minorHAnsi"/>
        </w:rPr>
        <w:t>Introduction</w:t>
      </w:r>
    </w:p>
    <w:p w14:paraId="33BD9994" w14:textId="3A3D215C" w:rsidR="00840EF5" w:rsidRPr="00840EF5" w:rsidRDefault="00840EF5" w:rsidP="00840EF5">
      <w:pPr>
        <w:spacing w:before="120"/>
        <w:rPr>
          <w:rFonts w:asciiTheme="minorHAnsi" w:hAnsiTheme="minorHAnsi"/>
          <w:lang w:eastAsia="ko-KR"/>
        </w:rPr>
      </w:pPr>
      <w:r w:rsidRPr="00840EF5">
        <w:rPr>
          <w:rFonts w:asciiTheme="minorHAnsi" w:hAnsiTheme="minorHAnsi"/>
          <w:lang w:eastAsia="ko-KR"/>
        </w:rPr>
        <w:t>In RAN#80 meeting, the Rel-16 work item of ‘DC and CA enhancements’ was approved. One of the main objectives is:</w:t>
      </w:r>
      <w:r>
        <w:rPr>
          <w:rFonts w:asciiTheme="minorHAnsi" w:hAnsiTheme="minorHAnsi"/>
          <w:lang w:eastAsia="ko-KR"/>
        </w:rPr>
        <w:br/>
      </w:r>
    </w:p>
    <w:tbl>
      <w:tblPr>
        <w:tblStyle w:val="TableGrid"/>
        <w:tblW w:w="10189" w:type="dxa"/>
        <w:tblLook w:val="04A0" w:firstRow="1" w:lastRow="0" w:firstColumn="1" w:lastColumn="0" w:noHBand="0" w:noVBand="1"/>
      </w:tblPr>
      <w:tblGrid>
        <w:gridCol w:w="10189"/>
      </w:tblGrid>
      <w:tr w:rsidR="00840EF5" w:rsidRPr="00840EF5" w14:paraId="22475069" w14:textId="77777777" w:rsidTr="00840EF5">
        <w:trPr>
          <w:trHeight w:val="1952"/>
        </w:trPr>
        <w:tc>
          <w:tcPr>
            <w:tcW w:w="10189" w:type="dxa"/>
          </w:tcPr>
          <w:p w14:paraId="0BB9895A" w14:textId="77777777" w:rsidR="00840EF5" w:rsidRPr="00840EF5" w:rsidRDefault="00840EF5" w:rsidP="006A6E53">
            <w:pPr>
              <w:rPr>
                <w:rFonts w:asciiTheme="minorHAnsi" w:hAnsiTheme="minorHAnsi"/>
                <w:bCs/>
                <w:lang w:val="en-US"/>
              </w:rPr>
            </w:pPr>
            <w:r w:rsidRPr="00840EF5">
              <w:rPr>
                <w:rFonts w:asciiTheme="minorHAnsi" w:hAnsiTheme="minorHAnsi"/>
                <w:b/>
                <w:bCs/>
                <w:lang w:val="en-US"/>
              </w:rPr>
              <w:t>Efficient and low latency serving cell configuration/activation/setup:</w:t>
            </w:r>
            <w:r w:rsidRPr="00840EF5">
              <w:rPr>
                <w:rFonts w:asciiTheme="minorHAnsi" w:hAnsiTheme="minorHAnsi"/>
                <w:bCs/>
                <w:lang w:val="en-US"/>
              </w:rPr>
              <w:t xml:space="preserve"> Minimizing signalling overhead and latency needed for initial cell setup, additional cell setup and additional cell activation for data transmission. [RAN2, RAN1, RAN4, RAN3]</w:t>
            </w:r>
          </w:p>
          <w:p w14:paraId="67D6F937" w14:textId="77777777" w:rsidR="00840EF5" w:rsidRPr="00840EF5" w:rsidRDefault="00840EF5" w:rsidP="00840EF5">
            <w:pPr>
              <w:numPr>
                <w:ilvl w:val="1"/>
                <w:numId w:val="44"/>
              </w:numPr>
              <w:overflowPunct w:val="0"/>
              <w:autoSpaceDE w:val="0"/>
              <w:autoSpaceDN w:val="0"/>
              <w:adjustRightInd w:val="0"/>
              <w:jc w:val="both"/>
              <w:textAlignment w:val="baseline"/>
              <w:rPr>
                <w:rFonts w:asciiTheme="minorHAnsi" w:hAnsiTheme="minorHAnsi"/>
                <w:bCs/>
                <w:lang w:val="en-US"/>
              </w:rPr>
            </w:pPr>
            <w:r w:rsidRPr="00840EF5">
              <w:rPr>
                <w:rFonts w:asciiTheme="minorHAnsi" w:hAnsiTheme="minorHAnsi"/>
                <w:bCs/>
                <w:lang w:val="en-US"/>
              </w:rPr>
              <w:t>This objective applies to MR-DC, NR-NR DC and CA</w:t>
            </w:r>
          </w:p>
          <w:p w14:paraId="3D23A3AC" w14:textId="77777777" w:rsidR="00840EF5" w:rsidRPr="00840EF5" w:rsidRDefault="00840EF5" w:rsidP="00840EF5">
            <w:pPr>
              <w:numPr>
                <w:ilvl w:val="1"/>
                <w:numId w:val="44"/>
              </w:numPr>
              <w:overflowPunct w:val="0"/>
              <w:autoSpaceDE w:val="0"/>
              <w:autoSpaceDN w:val="0"/>
              <w:adjustRightInd w:val="0"/>
              <w:jc w:val="both"/>
              <w:textAlignment w:val="baseline"/>
              <w:rPr>
                <w:rFonts w:asciiTheme="minorHAnsi" w:hAnsiTheme="minorHAnsi"/>
                <w:bCs/>
                <w:lang w:val="en-US"/>
              </w:rPr>
            </w:pPr>
            <w:r w:rsidRPr="00840EF5">
              <w:rPr>
                <w:rFonts w:asciiTheme="minorHAnsi" w:hAnsiTheme="minorHAnsi"/>
                <w:bCs/>
                <w:lang w:val="en-US"/>
              </w:rPr>
              <w:t>The objective should consider enhancements when starting from IDLE, INACTIVE mode and CONNECTED mode</w:t>
            </w:r>
          </w:p>
          <w:p w14:paraId="1B4ADE85" w14:textId="77777777" w:rsidR="00840EF5" w:rsidRPr="00840EF5" w:rsidRDefault="00840EF5" w:rsidP="006A6E53">
            <w:pPr>
              <w:tabs>
                <w:tab w:val="num" w:pos="2160"/>
              </w:tabs>
              <w:rPr>
                <w:rFonts w:asciiTheme="minorHAnsi" w:hAnsiTheme="minorHAnsi"/>
                <w:bCs/>
                <w:lang w:val="en-US"/>
              </w:rPr>
            </w:pPr>
            <w:r w:rsidRPr="00840EF5">
              <w:rPr>
                <w:rFonts w:asciiTheme="minorHAnsi" w:hAnsiTheme="minorHAnsi"/>
                <w:bCs/>
                <w:lang w:val="en-US"/>
              </w:rPr>
              <w:t xml:space="preserve">The work on objective 2 and 3 should consider UEs in all states (i.e. IDLE, INACTIVE and CONNECTED). </w:t>
            </w:r>
          </w:p>
        </w:tc>
      </w:tr>
    </w:tbl>
    <w:p w14:paraId="1C019282" w14:textId="7F51EF98" w:rsidR="00106E00" w:rsidRPr="00840EF5" w:rsidRDefault="00840EF5" w:rsidP="00840EF5">
      <w:pPr>
        <w:spacing w:before="120"/>
        <w:rPr>
          <w:rFonts w:asciiTheme="minorHAnsi" w:hAnsiTheme="minorHAnsi"/>
        </w:rPr>
      </w:pPr>
      <w:r>
        <w:rPr>
          <w:rFonts w:asciiTheme="minorHAnsi" w:hAnsiTheme="minorHAnsi"/>
          <w:lang w:eastAsia="ko-KR"/>
        </w:rPr>
        <w:br/>
      </w:r>
      <w:r w:rsidRPr="00840EF5">
        <w:rPr>
          <w:rFonts w:asciiTheme="minorHAnsi" w:hAnsiTheme="minorHAnsi"/>
          <w:lang w:eastAsia="ko-KR"/>
        </w:rPr>
        <w:t xml:space="preserve">In this contribution, we discuss the applicability of the solutions for LTE Rel-15 euCA to enable fast SCell activation for data transmission. </w:t>
      </w:r>
      <w:r>
        <w:rPr>
          <w:rFonts w:asciiTheme="minorHAnsi" w:hAnsiTheme="minorHAnsi"/>
        </w:rPr>
        <w:br/>
      </w:r>
    </w:p>
    <w:p w14:paraId="035E4CDD" w14:textId="7DA839BC" w:rsidR="00106E00" w:rsidRPr="00840EF5" w:rsidRDefault="00840EF5" w:rsidP="00840EF5">
      <w:pPr>
        <w:pStyle w:val="Heading1"/>
        <w:rPr>
          <w:rFonts w:asciiTheme="minorHAnsi" w:hAnsiTheme="minorHAnsi"/>
        </w:rPr>
      </w:pPr>
      <w:r w:rsidRPr="00840EF5">
        <w:rPr>
          <w:rFonts w:asciiTheme="minorHAnsi" w:hAnsiTheme="minorHAnsi"/>
        </w:rPr>
        <w:t>Efficient SCell Access Switching for NR</w:t>
      </w:r>
    </w:p>
    <w:p w14:paraId="7CDA960F" w14:textId="77777777" w:rsidR="00840EF5" w:rsidRPr="00840EF5" w:rsidRDefault="00840EF5" w:rsidP="00840EF5">
      <w:pPr>
        <w:spacing w:before="120" w:line="276" w:lineRule="auto"/>
        <w:rPr>
          <w:rFonts w:asciiTheme="minorHAnsi" w:hAnsiTheme="minorHAnsi"/>
        </w:rPr>
      </w:pPr>
      <w:r w:rsidRPr="00840EF5">
        <w:rPr>
          <w:rFonts w:asciiTheme="minorHAnsi" w:hAnsiTheme="minorHAnsi"/>
        </w:rPr>
        <w:t xml:space="preserve">In LTE euCA, the concept of ‘dormancy’ is introduced for SCell, i.e. a new ‘Dormant SCell state’ is supported in addition to ‘activated’ and ‘deactivated’ state.  For the SCell in dormant state, UE doesn’t monitor PDCCH and only perform period CQI report sparsely.  </w:t>
      </w:r>
    </w:p>
    <w:p w14:paraId="68BBAB71" w14:textId="77777777" w:rsidR="00840EF5" w:rsidRPr="00840EF5" w:rsidRDefault="00840EF5" w:rsidP="00840EF5">
      <w:pPr>
        <w:spacing w:before="120" w:line="276" w:lineRule="auto"/>
        <w:rPr>
          <w:rFonts w:asciiTheme="minorHAnsi" w:hAnsiTheme="minorHAnsi"/>
        </w:rPr>
      </w:pPr>
      <w:r w:rsidRPr="00840EF5">
        <w:rPr>
          <w:rFonts w:asciiTheme="minorHAnsi" w:hAnsiTheme="minorHAnsi"/>
        </w:rPr>
        <w:t xml:space="preserve">Without dormant SCell state, the SCell should be deactivated when there is no data to be scheduled. Then the SCell will be activated again by MAC CE later when additional radio resources are required. The SCell activation delay from deactivated to activated state is long, during which UE initiates CSI measurement and sends CSI reports. The network can start scheduling on the SCell only after the initial CSI report is received. The frequent transition between activated state and deactivated state is not efficient to offload the bursty traffic. </w:t>
      </w:r>
    </w:p>
    <w:p w14:paraId="02AD00C5" w14:textId="6194A742" w:rsidR="00840EF5" w:rsidRPr="00840EF5" w:rsidRDefault="00840EF5" w:rsidP="00840EF5">
      <w:pPr>
        <w:spacing w:before="120" w:line="276" w:lineRule="auto"/>
        <w:rPr>
          <w:rFonts w:asciiTheme="minorHAnsi" w:hAnsiTheme="minorHAnsi"/>
        </w:rPr>
      </w:pPr>
      <w:r>
        <w:rPr>
          <w:rFonts w:asciiTheme="minorHAnsi" w:hAnsiTheme="minorHAnsi"/>
        </w:rPr>
        <w:t>If the SC</w:t>
      </w:r>
      <w:r w:rsidRPr="00840EF5">
        <w:rPr>
          <w:rFonts w:asciiTheme="minorHAnsi" w:hAnsiTheme="minorHAnsi"/>
        </w:rPr>
        <w:t xml:space="preserve">ell is kept in dormant state, the SCell activation delay can be reduced to 8ms, since the delay for initial CSI measurement and reporting is reduced by continuous CSI report.  Compared with the deactivated state, more UE power consumption is expected due to the continuous CSI measurement and report. So the resources for CSI report is configured sparsely to balance the UE power consumption. </w:t>
      </w:r>
      <w:r w:rsidRPr="00840EF5">
        <w:rPr>
          <w:rFonts w:asciiTheme="minorHAnsi" w:hAnsiTheme="minorHAnsi"/>
          <w:lang w:eastAsia="en-US"/>
        </w:rPr>
        <w:t>In NR, the concept of ‘dormancy’ is still useful to reduce the SCell activation latency, especially considering the uncertainty in time duration to acquire the first available UL resource for CSI reporting.</w:t>
      </w:r>
    </w:p>
    <w:p w14:paraId="42033C90" w14:textId="0953054B" w:rsidR="00840EF5" w:rsidRPr="00840EF5" w:rsidRDefault="00840EF5" w:rsidP="00840EF5">
      <w:pPr>
        <w:spacing w:before="120" w:line="276" w:lineRule="auto"/>
        <w:rPr>
          <w:rFonts w:asciiTheme="minorHAnsi" w:hAnsiTheme="minorHAnsi"/>
          <w:b/>
        </w:rPr>
      </w:pPr>
      <w:r w:rsidRPr="00840EF5">
        <w:rPr>
          <w:rFonts w:asciiTheme="minorHAnsi" w:hAnsiTheme="minorHAnsi"/>
          <w:b/>
          <w:i/>
        </w:rPr>
        <w:t>Observation 1</w:t>
      </w:r>
      <w:r w:rsidRPr="00840EF5">
        <w:rPr>
          <w:rFonts w:asciiTheme="minorHAnsi" w:hAnsiTheme="minorHAnsi"/>
          <w:b/>
        </w:rPr>
        <w:t xml:space="preserve">: The dormant state can help to reduce the SCell activation delay by continuous CSI measurement and reporting. UE power consumption can be balanced by sparse CSI resource allocation.  </w:t>
      </w:r>
    </w:p>
    <w:p w14:paraId="11374698" w14:textId="07C78FE0" w:rsidR="00840EF5" w:rsidRPr="00840EF5" w:rsidRDefault="00840EF5" w:rsidP="00840EF5">
      <w:pPr>
        <w:spacing w:before="120" w:line="276" w:lineRule="auto"/>
        <w:rPr>
          <w:rFonts w:asciiTheme="minorHAnsi" w:hAnsiTheme="minorHAnsi"/>
          <w:b/>
        </w:rPr>
      </w:pPr>
      <w:r w:rsidRPr="00840EF5">
        <w:rPr>
          <w:rFonts w:asciiTheme="minorHAnsi" w:hAnsiTheme="minorHAnsi"/>
          <w:b/>
          <w:u w:val="single"/>
        </w:rPr>
        <w:t xml:space="preserve">Proposal </w:t>
      </w:r>
      <w:r w:rsidRPr="00840EF5">
        <w:rPr>
          <w:rFonts w:asciiTheme="minorHAnsi" w:hAnsiTheme="minorHAnsi"/>
          <w:b/>
          <w:u w:val="single"/>
        </w:rPr>
        <w:t>1</w:t>
      </w:r>
      <w:r w:rsidRPr="00840EF5">
        <w:rPr>
          <w:rFonts w:asciiTheme="minorHAnsi" w:hAnsiTheme="minorHAnsi"/>
          <w:b/>
        </w:rPr>
        <w:t xml:space="preserve">: The concept of ‘dormancy’ is supported in Rel-16 to reduce the SCell activation delay. UE in dormancy doesn’t monitor PDCCH and only performs CSI measurement and reporting. </w:t>
      </w:r>
    </w:p>
    <w:p w14:paraId="109BFD61" w14:textId="50FED02F" w:rsidR="00840EF5" w:rsidRPr="00840EF5" w:rsidRDefault="00840EF5" w:rsidP="00840EF5">
      <w:pPr>
        <w:rPr>
          <w:rFonts w:asciiTheme="minorHAnsi" w:hAnsiTheme="minorHAnsi"/>
          <w:lang w:eastAsia="en-US"/>
        </w:rPr>
      </w:pPr>
      <w:r w:rsidRPr="00840EF5">
        <w:rPr>
          <w:rFonts w:asciiTheme="minorHAnsi" w:hAnsiTheme="minorHAnsi"/>
          <w:lang w:eastAsia="en-US"/>
        </w:rPr>
        <w:lastRenderedPageBreak/>
        <w:t xml:space="preserve">In NR, BWP operation is supported. Data transmission/reception are performed per BWP on top of the activated serving cells.  </w:t>
      </w:r>
      <w:r w:rsidRPr="00840EF5">
        <w:rPr>
          <w:rFonts w:asciiTheme="minorHAnsi" w:hAnsiTheme="minorHAnsi"/>
          <w:lang w:eastAsia="ko-KR"/>
        </w:rPr>
        <w:t>The BWP switching for a serving Cell is used to activate an inactive BWP and deactivate an active BWP.</w:t>
      </w:r>
      <w:r w:rsidRPr="00840EF5">
        <w:rPr>
          <w:rFonts w:asciiTheme="minorHAnsi" w:hAnsiTheme="minorHAnsi"/>
          <w:lang w:eastAsia="en-US"/>
        </w:rPr>
        <w:t xml:space="preserve"> So all the physical channels including PDCCH, PDSCH, PUCCH, PUSCH, PRACH, etc are configured per BWP instead of per cell. The BWP switching is controlled by DCI, </w:t>
      </w:r>
      <w:r w:rsidRPr="00840EF5">
        <w:rPr>
          <w:rFonts w:asciiTheme="minorHAnsi" w:hAnsiTheme="minorHAnsi"/>
          <w:lang w:eastAsia="ko-KR"/>
        </w:rPr>
        <w:t xml:space="preserve">by the </w:t>
      </w:r>
      <w:r w:rsidRPr="00840EF5">
        <w:rPr>
          <w:rFonts w:asciiTheme="minorHAnsi" w:hAnsiTheme="minorHAnsi"/>
          <w:i/>
          <w:lang w:eastAsia="ko-KR"/>
        </w:rPr>
        <w:t>bwp-InactivityTimer</w:t>
      </w:r>
      <w:r w:rsidRPr="00840EF5">
        <w:rPr>
          <w:rFonts w:asciiTheme="minorHAnsi" w:hAnsiTheme="minorHAnsi"/>
          <w:lang w:eastAsia="ko-KR"/>
        </w:rPr>
        <w:t xml:space="preserve">, by RRC signalling, or by the MAC entity itself upon initiation of Random Access procedure. </w:t>
      </w:r>
    </w:p>
    <w:p w14:paraId="4B5422A4" w14:textId="475F14EE" w:rsidR="00840EF5" w:rsidRPr="00840EF5" w:rsidRDefault="00840EF5" w:rsidP="00840EF5">
      <w:pPr>
        <w:spacing w:before="120" w:line="276" w:lineRule="auto"/>
        <w:rPr>
          <w:rFonts w:asciiTheme="minorHAnsi" w:hAnsiTheme="minorHAnsi"/>
          <w:b/>
        </w:rPr>
      </w:pPr>
      <w:r>
        <w:rPr>
          <w:rFonts w:asciiTheme="minorHAnsi" w:hAnsiTheme="minorHAnsi"/>
          <w:b/>
        </w:rPr>
        <w:br/>
      </w:r>
      <w:r w:rsidRPr="00840EF5">
        <w:rPr>
          <w:rFonts w:asciiTheme="minorHAnsi" w:hAnsiTheme="minorHAnsi"/>
          <w:b/>
          <w:i/>
        </w:rPr>
        <w:t xml:space="preserve">Observation </w:t>
      </w:r>
      <w:r>
        <w:rPr>
          <w:rFonts w:asciiTheme="minorHAnsi" w:hAnsiTheme="minorHAnsi"/>
          <w:b/>
          <w:i/>
        </w:rPr>
        <w:t>2</w:t>
      </w:r>
      <w:r w:rsidRPr="00840EF5">
        <w:rPr>
          <w:rFonts w:asciiTheme="minorHAnsi" w:hAnsiTheme="minorHAnsi"/>
          <w:b/>
        </w:rPr>
        <w:t xml:space="preserve">: In NR, BWP operation is introduced and data transmission/reception are performed per BWP on top of the activated serving cells.  </w:t>
      </w:r>
    </w:p>
    <w:p w14:paraId="75C1D474" w14:textId="6797A8F3" w:rsidR="00840EF5" w:rsidRPr="00840EF5" w:rsidRDefault="00840EF5" w:rsidP="00840EF5">
      <w:pPr>
        <w:spacing w:before="120" w:line="276" w:lineRule="auto"/>
        <w:rPr>
          <w:rFonts w:asciiTheme="minorHAnsi" w:hAnsiTheme="minorHAnsi"/>
        </w:rPr>
      </w:pPr>
      <w:r>
        <w:rPr>
          <w:rFonts w:asciiTheme="minorHAnsi" w:hAnsiTheme="minorHAnsi"/>
        </w:rPr>
        <w:br/>
      </w:r>
      <w:r w:rsidRPr="00840EF5">
        <w:rPr>
          <w:rFonts w:asciiTheme="minorHAnsi" w:hAnsiTheme="minorHAnsi"/>
        </w:rPr>
        <w:t xml:space="preserve">If the concept of ‘Dormancy’ is introduced in NR, how to realize it and make it compatible with BWP operation should be considered. </w:t>
      </w:r>
    </w:p>
    <w:p w14:paraId="28004F0B" w14:textId="77777777" w:rsidR="00840EF5" w:rsidRPr="00840EF5" w:rsidRDefault="00840EF5" w:rsidP="00840EF5">
      <w:pPr>
        <w:spacing w:before="120" w:line="276" w:lineRule="auto"/>
        <w:rPr>
          <w:rFonts w:asciiTheme="minorHAnsi" w:hAnsiTheme="minorHAnsi"/>
        </w:rPr>
      </w:pPr>
      <w:r w:rsidRPr="00840EF5">
        <w:rPr>
          <w:rFonts w:asciiTheme="minorHAnsi" w:hAnsiTheme="minorHAnsi"/>
        </w:rPr>
        <w:t>One option is to define the ‘dormancy’ on the level of serving cell, same as LTE. In NR, the first active BWP is defined, which is the BWP UE perform data transmission/reception upon SCell activation. If the SCell is in dormant state, UE only needs to perform CSI measurement and reporting for the first active BWP.  In this option, the state transitions among activated, dormant and deactivated should be supported. It will requires new MAC CEs and new procedures in MAC layer, which is very complicated.</w:t>
      </w:r>
    </w:p>
    <w:p w14:paraId="2EE517DD" w14:textId="10ED56D7" w:rsidR="00840EF5" w:rsidRPr="00840EF5" w:rsidRDefault="00840EF5" w:rsidP="00840EF5">
      <w:pPr>
        <w:spacing w:before="120" w:line="276" w:lineRule="auto"/>
        <w:rPr>
          <w:rFonts w:asciiTheme="minorHAnsi" w:hAnsiTheme="minorHAnsi"/>
          <w:b/>
        </w:rPr>
      </w:pPr>
      <w:r>
        <w:rPr>
          <w:rFonts w:asciiTheme="minorHAnsi" w:hAnsiTheme="minorHAnsi"/>
          <w:b/>
        </w:rPr>
        <w:br/>
      </w:r>
      <w:r w:rsidRPr="00840EF5">
        <w:rPr>
          <w:rFonts w:asciiTheme="minorHAnsi" w:hAnsiTheme="minorHAnsi"/>
          <w:b/>
          <w:i/>
        </w:rPr>
        <w:t xml:space="preserve">Observation </w:t>
      </w:r>
      <w:r w:rsidRPr="00840EF5">
        <w:rPr>
          <w:rFonts w:asciiTheme="minorHAnsi" w:hAnsiTheme="minorHAnsi"/>
          <w:b/>
          <w:i/>
        </w:rPr>
        <w:t>3</w:t>
      </w:r>
      <w:r w:rsidRPr="00840EF5">
        <w:rPr>
          <w:rFonts w:asciiTheme="minorHAnsi" w:hAnsiTheme="minorHAnsi"/>
          <w:b/>
        </w:rPr>
        <w:t xml:space="preserve">: If dormant state is introduced on the level of serving cells (e.g. dormant SCell), new MAC CEs and new procedures in MAC layer to support state transitions among activated, dormant and deactivated should be specified. </w:t>
      </w:r>
    </w:p>
    <w:p w14:paraId="25D13BF9" w14:textId="5744FD70" w:rsidR="00840EF5" w:rsidRPr="00840EF5" w:rsidRDefault="00840EF5" w:rsidP="00840EF5">
      <w:pPr>
        <w:spacing w:before="120" w:line="276" w:lineRule="auto"/>
        <w:rPr>
          <w:rFonts w:asciiTheme="minorHAnsi" w:hAnsiTheme="minorHAnsi"/>
          <w:lang w:eastAsia="en-US"/>
        </w:rPr>
      </w:pPr>
      <w:r>
        <w:rPr>
          <w:rFonts w:asciiTheme="minorHAnsi" w:hAnsiTheme="minorHAnsi"/>
        </w:rPr>
        <w:br/>
      </w:r>
      <w:r w:rsidRPr="00840EF5">
        <w:rPr>
          <w:rFonts w:asciiTheme="minorHAnsi" w:hAnsiTheme="minorHAnsi"/>
        </w:rPr>
        <w:t xml:space="preserve">The other option is to realize the ‘dormancy’ behaviours on the level of BWP.  Actually, </w:t>
      </w:r>
      <w:r w:rsidRPr="00840EF5">
        <w:rPr>
          <w:rFonts w:asciiTheme="minorHAnsi" w:hAnsiTheme="minorHAnsi"/>
          <w:lang w:eastAsia="en-US"/>
        </w:rPr>
        <w:t>suspending PDCCH monitoring doesn’t necessarily need to create a new SCell state in NR. A particular BWP without PDCCH/PDSCH configuration can be configured to effectively realize the same behaviour as in dormant state. When the network intends to make UE only perform CSI measurement and reporting without PDCCH monitoring, BWP switching to the particular BWP can be performed.</w:t>
      </w:r>
    </w:p>
    <w:p w14:paraId="66F68C42" w14:textId="77777777" w:rsidR="00840EF5" w:rsidRPr="00840EF5" w:rsidRDefault="00840EF5" w:rsidP="00840EF5">
      <w:pPr>
        <w:spacing w:before="120" w:line="276" w:lineRule="auto"/>
        <w:rPr>
          <w:rFonts w:asciiTheme="minorHAnsi" w:hAnsiTheme="minorHAnsi"/>
          <w:lang w:eastAsia="en-US"/>
        </w:rPr>
      </w:pPr>
      <w:r w:rsidRPr="00840EF5">
        <w:rPr>
          <w:rFonts w:asciiTheme="minorHAnsi" w:hAnsiTheme="minorHAnsi"/>
          <w:lang w:eastAsia="en-US"/>
        </w:rPr>
        <w:t xml:space="preserve">Basically, only a particular BWP without PDCCH/PDSCH is configured by RRC. BWP switching with DCI can be used to send UE to the particular BWP without PDCCH monitoring. No new signalling and procedures are needed in both PHY and MAC layer. Furthermore, compared with the SCell activation delay from dormant state to activated state, the activation latency can be further reduced since the BWP switching delay is shorter compared with SCell state transition, which is only 2-3 ms. </w:t>
      </w:r>
    </w:p>
    <w:p w14:paraId="1B6FA0C9" w14:textId="60389EED" w:rsidR="00840EF5" w:rsidRPr="00840EF5" w:rsidRDefault="00840EF5" w:rsidP="00840EF5">
      <w:pPr>
        <w:spacing w:before="120" w:line="276" w:lineRule="auto"/>
        <w:rPr>
          <w:rFonts w:asciiTheme="minorHAnsi" w:hAnsiTheme="minorHAnsi"/>
          <w:b/>
        </w:rPr>
      </w:pPr>
      <w:r>
        <w:rPr>
          <w:rFonts w:asciiTheme="minorHAnsi" w:hAnsiTheme="minorHAnsi"/>
          <w:b/>
        </w:rPr>
        <w:br/>
      </w:r>
      <w:r w:rsidRPr="00840EF5">
        <w:rPr>
          <w:rFonts w:asciiTheme="minorHAnsi" w:hAnsiTheme="minorHAnsi"/>
          <w:b/>
          <w:i/>
        </w:rPr>
        <w:t xml:space="preserve">Observation </w:t>
      </w:r>
      <w:r w:rsidRPr="00840EF5">
        <w:rPr>
          <w:rFonts w:asciiTheme="minorHAnsi" w:hAnsiTheme="minorHAnsi"/>
          <w:b/>
          <w:i/>
        </w:rPr>
        <w:t>4</w:t>
      </w:r>
      <w:r w:rsidRPr="00840EF5">
        <w:rPr>
          <w:rFonts w:asciiTheme="minorHAnsi" w:hAnsiTheme="minorHAnsi"/>
          <w:b/>
        </w:rPr>
        <w:t xml:space="preserve">: If dormancy behaviour is introduced on the level of BWPs (i.e. configuring a particular BWP without PDCCH/PDSCH), no new signalling and procedures are needed on MAC layer to support different SCell state transition. BWP switching can further reduce the activation latency. </w:t>
      </w:r>
    </w:p>
    <w:p w14:paraId="24780C93" w14:textId="5A856EEB" w:rsidR="00840EF5" w:rsidRPr="00840EF5" w:rsidRDefault="00840EF5" w:rsidP="00840EF5">
      <w:pPr>
        <w:spacing w:before="120" w:line="276" w:lineRule="auto"/>
        <w:rPr>
          <w:rFonts w:asciiTheme="minorHAnsi" w:hAnsiTheme="minorHAnsi"/>
          <w:b/>
          <w:bCs/>
        </w:rPr>
      </w:pPr>
      <w:r w:rsidRPr="00840EF5">
        <w:rPr>
          <w:rFonts w:asciiTheme="minorHAnsi" w:hAnsiTheme="minorHAnsi"/>
          <w:b/>
          <w:bCs/>
          <w:u w:val="single"/>
        </w:rPr>
        <w:t xml:space="preserve">Proposal </w:t>
      </w:r>
      <w:r w:rsidRPr="00840EF5">
        <w:rPr>
          <w:rFonts w:asciiTheme="minorHAnsi" w:hAnsiTheme="minorHAnsi"/>
          <w:b/>
          <w:bCs/>
          <w:u w:val="single"/>
        </w:rPr>
        <w:t>2</w:t>
      </w:r>
      <w:r w:rsidRPr="00840EF5">
        <w:rPr>
          <w:rFonts w:asciiTheme="minorHAnsi" w:hAnsiTheme="minorHAnsi"/>
          <w:b/>
          <w:bCs/>
        </w:rPr>
        <w:t xml:space="preserve">: A particular BWP without PDCCH/PDSCH can be configured. </w:t>
      </w:r>
    </w:p>
    <w:p w14:paraId="2C8716CE" w14:textId="4BFD1106" w:rsidR="00840EF5" w:rsidRPr="00840EF5" w:rsidRDefault="00840EF5" w:rsidP="00840EF5">
      <w:pPr>
        <w:spacing w:before="120" w:line="276" w:lineRule="auto"/>
        <w:rPr>
          <w:rFonts w:asciiTheme="minorHAnsi" w:hAnsiTheme="minorHAnsi"/>
          <w:b/>
          <w:bCs/>
        </w:rPr>
      </w:pPr>
      <w:r w:rsidRPr="00840EF5">
        <w:rPr>
          <w:rFonts w:asciiTheme="minorHAnsi" w:hAnsiTheme="minorHAnsi"/>
          <w:b/>
          <w:bCs/>
          <w:u w:val="single"/>
        </w:rPr>
        <w:t xml:space="preserve">Proposal </w:t>
      </w:r>
      <w:r w:rsidRPr="00840EF5">
        <w:rPr>
          <w:rFonts w:asciiTheme="minorHAnsi" w:hAnsiTheme="minorHAnsi"/>
          <w:b/>
          <w:bCs/>
          <w:u w:val="single"/>
        </w:rPr>
        <w:t>3</w:t>
      </w:r>
      <w:r w:rsidRPr="00840EF5">
        <w:rPr>
          <w:rFonts w:asciiTheme="minorHAnsi" w:hAnsiTheme="minorHAnsi"/>
          <w:b/>
          <w:bCs/>
        </w:rPr>
        <w:t xml:space="preserve">: BWP switching to the particular BWP without PDCCH/PDSCH is used to realize ‘dormancy’. </w:t>
      </w:r>
    </w:p>
    <w:p w14:paraId="07C0C322" w14:textId="77777777" w:rsidR="00106E00" w:rsidRPr="00840EF5" w:rsidRDefault="00106E00" w:rsidP="00106E00">
      <w:pPr>
        <w:rPr>
          <w:rFonts w:asciiTheme="minorHAnsi" w:hAnsiTheme="minorHAnsi"/>
          <w:lang w:eastAsia="en-US"/>
        </w:rPr>
      </w:pPr>
    </w:p>
    <w:p w14:paraId="090AB437" w14:textId="27033A6D" w:rsidR="00106E00" w:rsidRPr="00840EF5" w:rsidRDefault="00840EF5" w:rsidP="00840EF5">
      <w:pPr>
        <w:spacing w:before="120" w:line="276" w:lineRule="auto"/>
        <w:rPr>
          <w:rFonts w:asciiTheme="minorHAnsi" w:hAnsiTheme="minorHAnsi"/>
          <w:lang w:eastAsia="en-US"/>
        </w:rPr>
      </w:pPr>
      <w:r>
        <w:rPr>
          <w:rFonts w:asciiTheme="minorHAnsi" w:hAnsiTheme="minorHAnsi"/>
          <w:lang w:eastAsia="en-US"/>
        </w:rPr>
        <w:t>Regarding triggering</w:t>
      </w:r>
      <w:r w:rsidR="00106E00" w:rsidRPr="00840EF5">
        <w:rPr>
          <w:rFonts w:asciiTheme="minorHAnsi" w:hAnsiTheme="minorHAnsi"/>
          <w:lang w:eastAsia="en-US"/>
        </w:rPr>
        <w:t xml:space="preserve"> SCell BWP</w:t>
      </w:r>
      <w:r>
        <w:rPr>
          <w:rFonts w:asciiTheme="minorHAnsi" w:hAnsiTheme="minorHAnsi"/>
          <w:lang w:eastAsia="en-US"/>
        </w:rPr>
        <w:t xml:space="preserve"> </w:t>
      </w:r>
      <w:r w:rsidRPr="00840EF5">
        <w:rPr>
          <w:rFonts w:asciiTheme="minorHAnsi" w:hAnsiTheme="minorHAnsi"/>
          <w:lang w:eastAsia="en-US"/>
        </w:rPr>
        <w:t>switching</w:t>
      </w:r>
      <w:r w:rsidR="00106E00" w:rsidRPr="00840EF5">
        <w:rPr>
          <w:rFonts w:asciiTheme="minorHAnsi" w:hAnsiTheme="minorHAnsi"/>
          <w:lang w:eastAsia="en-US"/>
        </w:rPr>
        <w:t>,</w:t>
      </w:r>
      <w:r>
        <w:rPr>
          <w:rFonts w:asciiTheme="minorHAnsi" w:hAnsiTheme="minorHAnsi"/>
          <w:lang w:eastAsia="en-US"/>
        </w:rPr>
        <w:t xml:space="preserve"> cross-carrier scheduling defined in Rel-15 can be utilized. However, the following two drawbacks can be observed:</w:t>
      </w:r>
    </w:p>
    <w:p w14:paraId="7AB052AE" w14:textId="4A849E33" w:rsidR="00106E00" w:rsidRPr="00840EF5" w:rsidRDefault="00106E00" w:rsidP="00840EF5">
      <w:pPr>
        <w:pStyle w:val="ListParagraph"/>
        <w:numPr>
          <w:ilvl w:val="0"/>
          <w:numId w:val="37"/>
        </w:numPr>
        <w:spacing w:before="120" w:line="276" w:lineRule="auto"/>
        <w:rPr>
          <w:rFonts w:asciiTheme="minorHAnsi" w:hAnsiTheme="minorHAnsi"/>
          <w:lang w:eastAsia="en-US"/>
        </w:rPr>
      </w:pPr>
      <w:r w:rsidRPr="00840EF5">
        <w:rPr>
          <w:rFonts w:asciiTheme="minorHAnsi" w:hAnsiTheme="minorHAnsi"/>
          <w:lang w:eastAsia="en-US"/>
        </w:rPr>
        <w:t xml:space="preserve">If SCell data is always scheduled in PCell, PCell control resource will be occupied, and such design is not scalable for larger </w:t>
      </w:r>
      <w:r w:rsidR="00D720F3" w:rsidRPr="00840EF5">
        <w:rPr>
          <w:rFonts w:asciiTheme="minorHAnsi" w:hAnsiTheme="minorHAnsi"/>
          <w:lang w:eastAsia="en-US"/>
        </w:rPr>
        <w:t>amount</w:t>
      </w:r>
      <w:r w:rsidRPr="00840EF5">
        <w:rPr>
          <w:rFonts w:asciiTheme="minorHAnsi" w:hAnsiTheme="minorHAnsi"/>
          <w:lang w:eastAsia="en-US"/>
        </w:rPr>
        <w:t xml:space="preserve"> of SCells.</w:t>
      </w:r>
    </w:p>
    <w:p w14:paraId="5960DFF6" w14:textId="41E52EDB" w:rsidR="00106E00" w:rsidRPr="00840EF5" w:rsidRDefault="00106E00" w:rsidP="00840EF5">
      <w:pPr>
        <w:pStyle w:val="ListParagraph"/>
        <w:numPr>
          <w:ilvl w:val="0"/>
          <w:numId w:val="37"/>
        </w:numPr>
        <w:spacing w:before="120" w:line="276" w:lineRule="auto"/>
        <w:rPr>
          <w:rFonts w:asciiTheme="minorHAnsi" w:hAnsiTheme="minorHAnsi"/>
          <w:lang w:eastAsia="en-US"/>
        </w:rPr>
      </w:pPr>
      <w:r w:rsidRPr="00840EF5">
        <w:rPr>
          <w:rFonts w:asciiTheme="minorHAnsi" w:hAnsiTheme="minorHAnsi"/>
          <w:lang w:eastAsia="en-US"/>
        </w:rPr>
        <w:lastRenderedPageBreak/>
        <w:t>If network wants to switching back to self-carrier scheduling on SCell after SCell is switched to a normal BWP</w:t>
      </w:r>
      <w:r w:rsidR="00840EF5">
        <w:rPr>
          <w:rFonts w:asciiTheme="minorHAnsi" w:hAnsiTheme="minorHAnsi"/>
          <w:lang w:eastAsia="en-US"/>
        </w:rPr>
        <w:t xml:space="preserve"> with PDCCH monitoring</w:t>
      </w:r>
      <w:r w:rsidRPr="00840EF5">
        <w:rPr>
          <w:rFonts w:asciiTheme="minorHAnsi" w:hAnsiTheme="minorHAnsi"/>
          <w:lang w:eastAsia="en-US"/>
        </w:rPr>
        <w:t xml:space="preserve">, it relies on RRC reconfiguration which will cause long latency and </w:t>
      </w:r>
      <w:r w:rsidR="00D720F3" w:rsidRPr="00840EF5">
        <w:rPr>
          <w:rFonts w:asciiTheme="minorHAnsi" w:hAnsiTheme="minorHAnsi"/>
          <w:lang w:eastAsia="en-US"/>
        </w:rPr>
        <w:t>break</w:t>
      </w:r>
      <w:r w:rsidRPr="00840EF5">
        <w:rPr>
          <w:rFonts w:asciiTheme="minorHAnsi" w:hAnsiTheme="minorHAnsi"/>
          <w:lang w:eastAsia="en-US"/>
        </w:rPr>
        <w:t xml:space="preserve"> the benefit of fast SCell access switching.</w:t>
      </w:r>
    </w:p>
    <w:p w14:paraId="747CB8DB" w14:textId="4AC5B75A" w:rsidR="00106E00" w:rsidRDefault="00840EF5" w:rsidP="00840EF5">
      <w:pPr>
        <w:spacing w:before="120" w:line="276" w:lineRule="auto"/>
        <w:rPr>
          <w:rFonts w:asciiTheme="minorHAnsi" w:hAnsiTheme="minorHAnsi"/>
          <w:lang w:eastAsia="en-US"/>
        </w:rPr>
      </w:pPr>
      <w:r>
        <w:rPr>
          <w:rFonts w:asciiTheme="minorHAnsi" w:hAnsiTheme="minorHAnsi"/>
          <w:lang w:eastAsia="en-US"/>
        </w:rPr>
        <w:t>Therefore, alternative solution to efficiently switching SCell BWP should be further investigated.</w:t>
      </w:r>
    </w:p>
    <w:p w14:paraId="1E17E671" w14:textId="609F0676" w:rsidR="00840EF5" w:rsidRPr="00840EF5" w:rsidRDefault="00840EF5" w:rsidP="00840EF5">
      <w:pPr>
        <w:spacing w:before="120" w:line="276" w:lineRule="auto"/>
        <w:rPr>
          <w:rFonts w:asciiTheme="minorHAnsi" w:hAnsiTheme="minorHAnsi"/>
          <w:b/>
          <w:lang w:eastAsia="en-US"/>
        </w:rPr>
      </w:pPr>
      <w:r>
        <w:rPr>
          <w:rFonts w:asciiTheme="minorHAnsi" w:hAnsiTheme="minorHAnsi"/>
          <w:lang w:eastAsia="en-US"/>
        </w:rPr>
        <w:br/>
      </w:r>
      <w:r w:rsidRPr="00840EF5">
        <w:rPr>
          <w:rFonts w:asciiTheme="minorHAnsi" w:hAnsiTheme="minorHAnsi"/>
          <w:b/>
          <w:i/>
          <w:lang w:eastAsia="en-US"/>
        </w:rPr>
        <w:t>Observation 5</w:t>
      </w:r>
      <w:r w:rsidRPr="00840EF5">
        <w:rPr>
          <w:rFonts w:asciiTheme="minorHAnsi" w:hAnsiTheme="minorHAnsi"/>
          <w:b/>
          <w:lang w:eastAsia="en-US"/>
        </w:rPr>
        <w:t>: Cross-carrier scheduling can be utilized to switching SCell BWP. But there exhibit issues of limited scalability and long latency whenever changing to same-carrier scheduling.</w:t>
      </w:r>
    </w:p>
    <w:p w14:paraId="315B1872" w14:textId="46830359" w:rsidR="00840EF5" w:rsidRPr="00840EF5" w:rsidRDefault="00840EF5" w:rsidP="00840EF5">
      <w:pPr>
        <w:spacing w:before="120" w:line="276" w:lineRule="auto"/>
        <w:rPr>
          <w:rFonts w:asciiTheme="minorHAnsi" w:hAnsiTheme="minorHAnsi"/>
          <w:b/>
          <w:lang w:eastAsia="en-US"/>
        </w:rPr>
      </w:pPr>
      <w:r w:rsidRPr="00840EF5">
        <w:rPr>
          <w:rFonts w:asciiTheme="minorHAnsi" w:hAnsiTheme="minorHAnsi"/>
          <w:b/>
          <w:u w:val="single"/>
          <w:lang w:eastAsia="en-US"/>
        </w:rPr>
        <w:t>Proposal 4</w:t>
      </w:r>
      <w:r w:rsidRPr="00840EF5">
        <w:rPr>
          <w:rFonts w:asciiTheme="minorHAnsi" w:hAnsiTheme="minorHAnsi"/>
          <w:b/>
          <w:lang w:eastAsia="en-US"/>
        </w:rPr>
        <w:t xml:space="preserve">: Efficient SCell access switching based on BWP is further investigated for NR Rel-16.  </w:t>
      </w:r>
    </w:p>
    <w:p w14:paraId="5863D637" w14:textId="77777777" w:rsidR="00840EF5" w:rsidRPr="00840EF5" w:rsidRDefault="00840EF5" w:rsidP="00840EF5">
      <w:pPr>
        <w:rPr>
          <w:rFonts w:asciiTheme="minorHAnsi" w:hAnsiTheme="minorHAnsi"/>
        </w:rPr>
      </w:pPr>
    </w:p>
    <w:p w14:paraId="091DF272" w14:textId="49F8BC19" w:rsidR="00840EF5" w:rsidRPr="00840EF5" w:rsidRDefault="00840EF5" w:rsidP="00840EF5">
      <w:pPr>
        <w:pStyle w:val="Heading1"/>
        <w:rPr>
          <w:rFonts w:asciiTheme="minorHAnsi" w:hAnsiTheme="minorHAnsi"/>
        </w:rPr>
      </w:pPr>
      <w:r>
        <w:rPr>
          <w:rFonts w:asciiTheme="minorHAnsi" w:hAnsiTheme="minorHAnsi"/>
        </w:rPr>
        <w:t>Conclusion</w:t>
      </w:r>
    </w:p>
    <w:p w14:paraId="2DEF823B" w14:textId="1AF6C6A8" w:rsidR="00840EF5" w:rsidRDefault="00840EF5" w:rsidP="00840EF5">
      <w:pPr>
        <w:spacing w:before="120" w:line="276" w:lineRule="auto"/>
        <w:rPr>
          <w:rFonts w:asciiTheme="minorHAnsi" w:hAnsiTheme="minorHAnsi"/>
        </w:rPr>
      </w:pPr>
      <w:r w:rsidRPr="00840EF5">
        <w:rPr>
          <w:rFonts w:asciiTheme="minorHAnsi" w:hAnsiTheme="minorHAnsi"/>
        </w:rPr>
        <w:t>In</w:t>
      </w:r>
      <w:r>
        <w:rPr>
          <w:rFonts w:asciiTheme="minorHAnsi" w:hAnsiTheme="minorHAnsi"/>
        </w:rPr>
        <w:t xml:space="preserve"> this contribution, how to realize efficient SCell accessing for NR is discussed. In particular, we have:</w:t>
      </w:r>
    </w:p>
    <w:p w14:paraId="5FDF8F58" w14:textId="1E8B0B59" w:rsidR="00840EF5" w:rsidRPr="00840EF5" w:rsidRDefault="00840EF5" w:rsidP="00840EF5">
      <w:pPr>
        <w:spacing w:before="120" w:line="276" w:lineRule="auto"/>
        <w:rPr>
          <w:rFonts w:asciiTheme="minorHAnsi" w:hAnsiTheme="minorHAnsi"/>
          <w:b/>
        </w:rPr>
      </w:pPr>
      <w:r>
        <w:rPr>
          <w:rFonts w:asciiTheme="minorHAnsi" w:hAnsiTheme="minorHAnsi"/>
          <w:sz w:val="22"/>
          <w:lang w:eastAsia="ko-KR"/>
        </w:rPr>
        <w:br/>
      </w:r>
      <w:r w:rsidRPr="00840EF5">
        <w:rPr>
          <w:rFonts w:asciiTheme="minorHAnsi" w:hAnsiTheme="minorHAnsi"/>
          <w:b/>
          <w:i/>
        </w:rPr>
        <w:t>Observation 1</w:t>
      </w:r>
      <w:r w:rsidRPr="00840EF5">
        <w:rPr>
          <w:rFonts w:asciiTheme="minorHAnsi" w:hAnsiTheme="minorHAnsi"/>
          <w:b/>
        </w:rPr>
        <w:t xml:space="preserve">: The dormant state can help to reduce the SCell activation delay by continuous CSI measurement and reporting. UE power consumption can be balanced by sparse CSI resource allocation.  </w:t>
      </w:r>
    </w:p>
    <w:p w14:paraId="28671D31" w14:textId="74D5651A" w:rsidR="00840EF5" w:rsidRPr="00840EF5" w:rsidRDefault="00840EF5" w:rsidP="00840EF5">
      <w:pPr>
        <w:spacing w:before="120" w:line="276" w:lineRule="auto"/>
        <w:rPr>
          <w:rFonts w:asciiTheme="minorHAnsi" w:hAnsiTheme="minorHAnsi"/>
          <w:b/>
        </w:rPr>
      </w:pPr>
      <w:r>
        <w:rPr>
          <w:rFonts w:asciiTheme="minorHAnsi" w:hAnsiTheme="minorHAnsi"/>
          <w:b/>
          <w:u w:val="single"/>
        </w:rPr>
        <w:br/>
      </w:r>
      <w:r w:rsidRPr="00840EF5">
        <w:rPr>
          <w:rFonts w:asciiTheme="minorHAnsi" w:hAnsiTheme="minorHAnsi"/>
          <w:b/>
          <w:u w:val="single"/>
        </w:rPr>
        <w:t>Proposal 1</w:t>
      </w:r>
      <w:r w:rsidRPr="00840EF5">
        <w:rPr>
          <w:rFonts w:asciiTheme="minorHAnsi" w:hAnsiTheme="minorHAnsi"/>
          <w:b/>
        </w:rPr>
        <w:t xml:space="preserve">: The concept of ‘dormancy’ is supported in Rel-16 to reduce the SCell activation delay. UE in dormancy doesn’t monitor PDCCH and only performs CSI measurement and reporting. </w:t>
      </w:r>
    </w:p>
    <w:p w14:paraId="3C5D3C50" w14:textId="39947DEC" w:rsidR="00840EF5" w:rsidRDefault="00840EF5" w:rsidP="00840EF5">
      <w:pPr>
        <w:spacing w:after="60"/>
        <w:jc w:val="both"/>
        <w:rPr>
          <w:rFonts w:asciiTheme="minorHAnsi" w:hAnsiTheme="minorHAnsi"/>
          <w:b/>
        </w:rPr>
      </w:pPr>
      <w:r>
        <w:rPr>
          <w:rFonts w:asciiTheme="minorHAnsi" w:hAnsiTheme="minorHAnsi"/>
          <w:b/>
          <w:i/>
        </w:rPr>
        <w:br/>
      </w:r>
      <w:r w:rsidRPr="00840EF5">
        <w:rPr>
          <w:rFonts w:asciiTheme="minorHAnsi" w:hAnsiTheme="minorHAnsi"/>
          <w:b/>
          <w:i/>
        </w:rPr>
        <w:t xml:space="preserve">Observation </w:t>
      </w:r>
      <w:r>
        <w:rPr>
          <w:rFonts w:asciiTheme="minorHAnsi" w:hAnsiTheme="minorHAnsi"/>
          <w:b/>
          <w:i/>
        </w:rPr>
        <w:t>2</w:t>
      </w:r>
      <w:r w:rsidRPr="00840EF5">
        <w:rPr>
          <w:rFonts w:asciiTheme="minorHAnsi" w:hAnsiTheme="minorHAnsi"/>
          <w:b/>
        </w:rPr>
        <w:t xml:space="preserve">: In NR, BWP operation is introduced and data transmission/reception are performed per BWP on top of the activated serving cells.  </w:t>
      </w:r>
    </w:p>
    <w:p w14:paraId="54226F42" w14:textId="10AF9ABB" w:rsidR="00840EF5" w:rsidRPr="00840EF5" w:rsidRDefault="00840EF5" w:rsidP="00840EF5">
      <w:pPr>
        <w:spacing w:before="120" w:line="276" w:lineRule="auto"/>
        <w:rPr>
          <w:rFonts w:asciiTheme="minorHAnsi" w:hAnsiTheme="minorHAnsi"/>
          <w:b/>
        </w:rPr>
      </w:pPr>
      <w:r>
        <w:rPr>
          <w:rFonts w:asciiTheme="minorHAnsi" w:hAnsiTheme="minorHAnsi"/>
          <w:b/>
          <w:i/>
        </w:rPr>
        <w:br/>
      </w:r>
      <w:r w:rsidRPr="00840EF5">
        <w:rPr>
          <w:rFonts w:asciiTheme="minorHAnsi" w:hAnsiTheme="minorHAnsi"/>
          <w:b/>
          <w:i/>
        </w:rPr>
        <w:t>Observation 3</w:t>
      </w:r>
      <w:r w:rsidRPr="00840EF5">
        <w:rPr>
          <w:rFonts w:asciiTheme="minorHAnsi" w:hAnsiTheme="minorHAnsi"/>
          <w:b/>
        </w:rPr>
        <w:t xml:space="preserve">: If dormant state is introduced on the level of serving cells (e.g. dormant SCell), new MAC CEs and new procedures in MAC layer to support state transitions among activated, dormant and deactivated should be specified. </w:t>
      </w:r>
    </w:p>
    <w:p w14:paraId="72462A4C" w14:textId="3BCFC32A" w:rsidR="00840EF5" w:rsidRPr="00840EF5" w:rsidRDefault="00840EF5" w:rsidP="00840EF5">
      <w:pPr>
        <w:spacing w:before="120" w:line="276" w:lineRule="auto"/>
        <w:rPr>
          <w:rFonts w:asciiTheme="minorHAnsi" w:hAnsiTheme="minorHAnsi"/>
          <w:b/>
        </w:rPr>
      </w:pPr>
      <w:r>
        <w:rPr>
          <w:rFonts w:asciiTheme="minorHAnsi" w:hAnsiTheme="minorHAnsi"/>
          <w:b/>
          <w:i/>
        </w:rPr>
        <w:br/>
      </w:r>
      <w:r w:rsidRPr="00840EF5">
        <w:rPr>
          <w:rFonts w:asciiTheme="minorHAnsi" w:hAnsiTheme="minorHAnsi"/>
          <w:b/>
          <w:i/>
        </w:rPr>
        <w:t>Observation 4</w:t>
      </w:r>
      <w:r w:rsidRPr="00840EF5">
        <w:rPr>
          <w:rFonts w:asciiTheme="minorHAnsi" w:hAnsiTheme="minorHAnsi"/>
          <w:b/>
        </w:rPr>
        <w:t xml:space="preserve">: If dormancy behaviour is introduced on the level of BWPs (i.e. configuring a particular BWP without PDCCH/PDSCH), no new signalling and procedures are needed on MAC layer to support different SCell state transition. BWP switching can further reduce the activation latency. </w:t>
      </w:r>
    </w:p>
    <w:p w14:paraId="08D199FA" w14:textId="77777777" w:rsidR="00840EF5" w:rsidRPr="00840EF5" w:rsidRDefault="00840EF5" w:rsidP="00840EF5">
      <w:pPr>
        <w:spacing w:before="120" w:line="276" w:lineRule="auto"/>
        <w:rPr>
          <w:rFonts w:asciiTheme="minorHAnsi" w:hAnsiTheme="minorHAnsi"/>
          <w:b/>
          <w:bCs/>
        </w:rPr>
      </w:pPr>
      <w:r>
        <w:rPr>
          <w:rFonts w:asciiTheme="minorHAnsi" w:hAnsiTheme="minorHAnsi"/>
          <w:b/>
          <w:bCs/>
        </w:rPr>
        <w:br/>
      </w:r>
      <w:r w:rsidRPr="00840EF5">
        <w:rPr>
          <w:rFonts w:asciiTheme="minorHAnsi" w:hAnsiTheme="minorHAnsi"/>
          <w:b/>
          <w:bCs/>
          <w:u w:val="single"/>
        </w:rPr>
        <w:t>Proposal 2</w:t>
      </w:r>
      <w:r w:rsidRPr="00840EF5">
        <w:rPr>
          <w:rFonts w:asciiTheme="minorHAnsi" w:hAnsiTheme="minorHAnsi"/>
          <w:b/>
          <w:bCs/>
        </w:rPr>
        <w:t xml:space="preserve">: A particular BWP without PDCCH/PDSCH can be configured. </w:t>
      </w:r>
    </w:p>
    <w:p w14:paraId="581AC2B8" w14:textId="7010F0D3" w:rsidR="00840EF5" w:rsidRPr="00840EF5" w:rsidRDefault="00840EF5" w:rsidP="00840EF5">
      <w:pPr>
        <w:spacing w:before="120" w:line="276" w:lineRule="auto"/>
        <w:rPr>
          <w:rFonts w:asciiTheme="minorHAnsi" w:hAnsiTheme="minorHAnsi"/>
          <w:b/>
          <w:bCs/>
        </w:rPr>
      </w:pPr>
      <w:r>
        <w:rPr>
          <w:rFonts w:asciiTheme="minorHAnsi" w:hAnsiTheme="minorHAnsi"/>
          <w:b/>
          <w:bCs/>
        </w:rPr>
        <w:br/>
      </w:r>
      <w:r w:rsidRPr="00840EF5">
        <w:rPr>
          <w:rFonts w:asciiTheme="minorHAnsi" w:hAnsiTheme="minorHAnsi"/>
          <w:b/>
          <w:bCs/>
          <w:u w:val="single"/>
        </w:rPr>
        <w:t>Proposal 3</w:t>
      </w:r>
      <w:r w:rsidRPr="00840EF5">
        <w:rPr>
          <w:rFonts w:asciiTheme="minorHAnsi" w:hAnsiTheme="minorHAnsi"/>
          <w:b/>
          <w:bCs/>
        </w:rPr>
        <w:t xml:space="preserve">: BWP switching to the particular BWP without PDCCH/PDSCH is used to realize ‘dormancy’. </w:t>
      </w:r>
      <w:r>
        <w:rPr>
          <w:rFonts w:asciiTheme="minorHAnsi" w:hAnsiTheme="minorHAnsi"/>
          <w:b/>
          <w:bCs/>
        </w:rPr>
        <w:br/>
      </w:r>
      <w:r>
        <w:rPr>
          <w:rFonts w:asciiTheme="minorHAnsi" w:hAnsiTheme="minorHAnsi"/>
          <w:b/>
          <w:bCs/>
        </w:rPr>
        <w:br/>
      </w:r>
      <w:bookmarkStart w:id="2" w:name="_GoBack"/>
      <w:bookmarkEnd w:id="2"/>
      <w:r w:rsidRPr="00840EF5">
        <w:rPr>
          <w:rFonts w:asciiTheme="minorHAnsi" w:hAnsiTheme="minorHAnsi"/>
          <w:b/>
          <w:i/>
          <w:lang w:eastAsia="en-US"/>
        </w:rPr>
        <w:t>Observation 5</w:t>
      </w:r>
      <w:r w:rsidRPr="00840EF5">
        <w:rPr>
          <w:rFonts w:asciiTheme="minorHAnsi" w:hAnsiTheme="minorHAnsi"/>
          <w:b/>
          <w:lang w:eastAsia="en-US"/>
        </w:rPr>
        <w:t>: Cross-carrier scheduling can be utilized to switching SCell BWP. But there exhibit issues of limited scalability and long latency whenever changing to same-carrier scheduling.</w:t>
      </w:r>
    </w:p>
    <w:p w14:paraId="15ACE410" w14:textId="77777777" w:rsidR="00840EF5" w:rsidRPr="00840EF5" w:rsidRDefault="00840EF5" w:rsidP="00840EF5">
      <w:pPr>
        <w:spacing w:before="120" w:line="276" w:lineRule="auto"/>
        <w:rPr>
          <w:rFonts w:asciiTheme="minorHAnsi" w:hAnsiTheme="minorHAnsi"/>
          <w:b/>
          <w:lang w:eastAsia="en-US"/>
        </w:rPr>
      </w:pPr>
      <w:r>
        <w:rPr>
          <w:rFonts w:asciiTheme="minorHAnsi" w:hAnsiTheme="minorHAnsi"/>
          <w:lang w:eastAsia="en-US"/>
        </w:rPr>
        <w:br/>
      </w:r>
      <w:r w:rsidRPr="00840EF5">
        <w:rPr>
          <w:rFonts w:asciiTheme="minorHAnsi" w:hAnsiTheme="minorHAnsi"/>
          <w:b/>
          <w:u w:val="single"/>
          <w:lang w:eastAsia="en-US"/>
        </w:rPr>
        <w:t>Proposal 4</w:t>
      </w:r>
      <w:r w:rsidRPr="00840EF5">
        <w:rPr>
          <w:rFonts w:asciiTheme="minorHAnsi" w:hAnsiTheme="minorHAnsi"/>
          <w:b/>
          <w:lang w:eastAsia="en-US"/>
        </w:rPr>
        <w:t xml:space="preserve">: Efficient SCell access switching based on BWP is further investigated for NR Rel-16.  </w:t>
      </w:r>
    </w:p>
    <w:p w14:paraId="2FBBD68B" w14:textId="77777777" w:rsidR="00840EF5" w:rsidRPr="00840EF5" w:rsidRDefault="00840EF5" w:rsidP="00840EF5">
      <w:pPr>
        <w:spacing w:after="60"/>
        <w:jc w:val="both"/>
        <w:rPr>
          <w:rFonts w:asciiTheme="minorHAnsi" w:hAnsiTheme="minorHAnsi"/>
          <w:sz w:val="22"/>
          <w:lang w:eastAsia="ko-KR"/>
        </w:rPr>
      </w:pPr>
    </w:p>
    <w:sectPr w:rsidR="00840EF5" w:rsidRPr="00840EF5"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651065" w14:textId="77777777" w:rsidR="007519A7" w:rsidRDefault="007519A7">
      <w:r>
        <w:separator/>
      </w:r>
    </w:p>
  </w:endnote>
  <w:endnote w:type="continuationSeparator" w:id="0">
    <w:p w14:paraId="7DFC6B32" w14:textId="77777777" w:rsidR="007519A7" w:rsidRDefault="00751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FEE4FD" w14:textId="77777777" w:rsidR="007519A7" w:rsidRDefault="007519A7">
      <w:r>
        <w:separator/>
      </w:r>
    </w:p>
  </w:footnote>
  <w:footnote w:type="continuationSeparator" w:id="0">
    <w:p w14:paraId="69710AD9" w14:textId="77777777" w:rsidR="007519A7" w:rsidRDefault="007519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C23AE636"/>
    <w:lvl w:ilvl="0" w:tplc="84F88426">
      <w:start w:val="1"/>
      <w:numFmt w:val="decimal"/>
      <w:lvlText w:val="[%1]"/>
      <w:lvlJc w:val="left"/>
      <w:pPr>
        <w:ind w:left="360" w:hanging="360"/>
      </w:pPr>
      <w:rPr>
        <w:rFonts w:hint="eastAsia"/>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6658F"/>
    <w:multiLevelType w:val="hybridMultilevel"/>
    <w:tmpl w:val="E8E8B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EC70B2"/>
    <w:multiLevelType w:val="hybridMultilevel"/>
    <w:tmpl w:val="47EEEF7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5"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 w15:restartNumberingAfterBreak="0">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7" w15:restartNumberingAfterBreak="0">
    <w:nsid w:val="166B4C6A"/>
    <w:multiLevelType w:val="multilevel"/>
    <w:tmpl w:val="EADA320A"/>
    <w:lvl w:ilvl="0">
      <w:start w:val="1"/>
      <w:numFmt w:val="upperLetter"/>
      <w:lvlText w:val="%1."/>
      <w:lvlJc w:val="left"/>
      <w:pPr>
        <w:ind w:left="128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927"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8" w15:restartNumberingAfterBreak="0">
    <w:nsid w:val="19297683"/>
    <w:multiLevelType w:val="hybridMultilevel"/>
    <w:tmpl w:val="4B7A163C"/>
    <w:lvl w:ilvl="0" w:tplc="34DE8008">
      <w:start w:val="2"/>
      <w:numFmt w:val="decimal"/>
      <w:lvlText w:val="Sec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052B0E"/>
    <w:multiLevelType w:val="hybridMultilevel"/>
    <w:tmpl w:val="F9608A7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3C213C"/>
    <w:multiLevelType w:val="hybridMultilevel"/>
    <w:tmpl w:val="6B0C47D8"/>
    <w:lvl w:ilvl="0" w:tplc="701C5CB2">
      <w:start w:val="2"/>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AB0FF1"/>
    <w:multiLevelType w:val="hybridMultilevel"/>
    <w:tmpl w:val="90208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3" w15:restartNumberingAfterBreak="0">
    <w:nsid w:val="300B404F"/>
    <w:multiLevelType w:val="hybridMultilevel"/>
    <w:tmpl w:val="722C8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66664C"/>
    <w:multiLevelType w:val="hybridMultilevel"/>
    <w:tmpl w:val="31AAB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85416BA">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161B7"/>
    <w:multiLevelType w:val="multilevel"/>
    <w:tmpl w:val="A6185DD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5077BB5"/>
    <w:multiLevelType w:val="hybridMultilevel"/>
    <w:tmpl w:val="7924F8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15:restartNumberingAfterBreak="0">
    <w:nsid w:val="39187A1A"/>
    <w:multiLevelType w:val="hybridMultilevel"/>
    <w:tmpl w:val="206E9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1" w15:restartNumberingAfterBreak="0">
    <w:nsid w:val="466A1BC7"/>
    <w:multiLevelType w:val="multilevel"/>
    <w:tmpl w:val="939897F4"/>
    <w:lvl w:ilvl="0">
      <w:start w:val="1"/>
      <w:numFmt w:val="decimal"/>
      <w:pStyle w:val="Heading1"/>
      <w:lvlText w:val="%1"/>
      <w:lvlJc w:val="left"/>
      <w:pPr>
        <w:tabs>
          <w:tab w:val="num" w:pos="3267"/>
        </w:tabs>
        <w:ind w:left="3267"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22" w15:restartNumberingAfterBreak="0">
    <w:nsid w:val="482918A5"/>
    <w:multiLevelType w:val="hybridMultilevel"/>
    <w:tmpl w:val="5248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425495"/>
    <w:multiLevelType w:val="hybridMultilevel"/>
    <w:tmpl w:val="61AC8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1256D3"/>
    <w:multiLevelType w:val="hybridMultilevel"/>
    <w:tmpl w:val="2092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3A7107"/>
    <w:multiLevelType w:val="hybridMultilevel"/>
    <w:tmpl w:val="E048D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54CE5"/>
    <w:multiLevelType w:val="hybridMultilevel"/>
    <w:tmpl w:val="75DE3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2CE486C"/>
    <w:multiLevelType w:val="hybridMultilevel"/>
    <w:tmpl w:val="DC78759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922DC8"/>
    <w:multiLevelType w:val="hybridMultilevel"/>
    <w:tmpl w:val="1C3A5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3"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223D8A"/>
    <w:multiLevelType w:val="hybridMultilevel"/>
    <w:tmpl w:val="35EE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C92B0B"/>
    <w:multiLevelType w:val="hybridMultilevel"/>
    <w:tmpl w:val="DFBCB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D14D63"/>
    <w:multiLevelType w:val="hybridMultilevel"/>
    <w:tmpl w:val="0A5E28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AA3FE0"/>
    <w:multiLevelType w:val="hybridMultilevel"/>
    <w:tmpl w:val="7974F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75591B"/>
    <w:multiLevelType w:val="hybridMultilevel"/>
    <w:tmpl w:val="747C1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9424C3"/>
    <w:multiLevelType w:val="hybridMultilevel"/>
    <w:tmpl w:val="EB2C7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3" w15:restartNumberingAfterBreak="0">
    <w:nsid w:val="7F6A4BF2"/>
    <w:multiLevelType w:val="hybridMultilevel"/>
    <w:tmpl w:val="988CC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0"/>
  </w:num>
  <w:num w:numId="4">
    <w:abstractNumId w:val="20"/>
  </w:num>
  <w:num w:numId="5">
    <w:abstractNumId w:val="7"/>
  </w:num>
  <w:num w:numId="6">
    <w:abstractNumId w:val="5"/>
  </w:num>
  <w:num w:numId="7">
    <w:abstractNumId w:val="32"/>
  </w:num>
  <w:num w:numId="8">
    <w:abstractNumId w:val="29"/>
  </w:num>
  <w:num w:numId="9">
    <w:abstractNumId w:val="39"/>
  </w:num>
  <w:num w:numId="10">
    <w:abstractNumId w:val="13"/>
  </w:num>
  <w:num w:numId="11">
    <w:abstractNumId w:val="11"/>
  </w:num>
  <w:num w:numId="12">
    <w:abstractNumId w:val="0"/>
  </w:num>
  <w:num w:numId="13">
    <w:abstractNumId w:val="34"/>
  </w:num>
  <w:num w:numId="14">
    <w:abstractNumId w:val="16"/>
  </w:num>
  <w:num w:numId="15">
    <w:abstractNumId w:val="15"/>
  </w:num>
  <w:num w:numId="16">
    <w:abstractNumId w:val="2"/>
  </w:num>
  <w:num w:numId="17">
    <w:abstractNumId w:val="23"/>
  </w:num>
  <w:num w:numId="18">
    <w:abstractNumId w:val="40"/>
  </w:num>
  <w:num w:numId="19">
    <w:abstractNumId w:val="38"/>
  </w:num>
  <w:num w:numId="20">
    <w:abstractNumId w:val="24"/>
  </w:num>
  <w:num w:numId="21">
    <w:abstractNumId w:val="33"/>
  </w:num>
  <w:num w:numId="22">
    <w:abstractNumId w:val="6"/>
  </w:num>
  <w:num w:numId="23">
    <w:abstractNumId w:val="42"/>
  </w:num>
  <w:num w:numId="24">
    <w:abstractNumId w:val="12"/>
  </w:num>
  <w:num w:numId="25">
    <w:abstractNumId w:val="4"/>
  </w:num>
  <w:num w:numId="26">
    <w:abstractNumId w:val="28"/>
  </w:num>
  <w:num w:numId="27">
    <w:abstractNumId w:val="9"/>
  </w:num>
  <w:num w:numId="28">
    <w:abstractNumId w:val="14"/>
  </w:num>
  <w:num w:numId="29">
    <w:abstractNumId w:val="17"/>
  </w:num>
  <w:num w:numId="30">
    <w:abstractNumId w:val="26"/>
  </w:num>
  <w:num w:numId="31">
    <w:abstractNumId w:val="27"/>
  </w:num>
  <w:num w:numId="32">
    <w:abstractNumId w:val="31"/>
  </w:num>
  <w:num w:numId="33">
    <w:abstractNumId w:val="8"/>
  </w:num>
  <w:num w:numId="34">
    <w:abstractNumId w:val="22"/>
  </w:num>
  <w:num w:numId="35">
    <w:abstractNumId w:val="30"/>
  </w:num>
  <w:num w:numId="36">
    <w:abstractNumId w:val="19"/>
  </w:num>
  <w:num w:numId="37">
    <w:abstractNumId w:val="35"/>
  </w:num>
  <w:num w:numId="38">
    <w:abstractNumId w:val="43"/>
  </w:num>
  <w:num w:numId="39">
    <w:abstractNumId w:val="3"/>
  </w:num>
  <w:num w:numId="40">
    <w:abstractNumId w:val="37"/>
  </w:num>
  <w:num w:numId="41">
    <w:abstractNumId w:val="36"/>
  </w:num>
  <w:num w:numId="42">
    <w:abstractNumId w:val="25"/>
  </w:num>
  <w:num w:numId="43">
    <w:abstractNumId w:val="1"/>
  </w:num>
  <w:num w:numId="44">
    <w:abstractNumId w:val="4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27EA"/>
    <w:rsid w:val="00002CDB"/>
    <w:rsid w:val="0000414E"/>
    <w:rsid w:val="00004174"/>
    <w:rsid w:val="00004B5C"/>
    <w:rsid w:val="000054AF"/>
    <w:rsid w:val="0000796F"/>
    <w:rsid w:val="0000797A"/>
    <w:rsid w:val="000121C0"/>
    <w:rsid w:val="00014444"/>
    <w:rsid w:val="00015793"/>
    <w:rsid w:val="00015873"/>
    <w:rsid w:val="000161E4"/>
    <w:rsid w:val="0002191D"/>
    <w:rsid w:val="000222CB"/>
    <w:rsid w:val="0002426D"/>
    <w:rsid w:val="000266A0"/>
    <w:rsid w:val="00026F21"/>
    <w:rsid w:val="000306A4"/>
    <w:rsid w:val="00031C1D"/>
    <w:rsid w:val="00032F6B"/>
    <w:rsid w:val="000332B2"/>
    <w:rsid w:val="000343F5"/>
    <w:rsid w:val="00034473"/>
    <w:rsid w:val="00035C8A"/>
    <w:rsid w:val="00036802"/>
    <w:rsid w:val="00036CAD"/>
    <w:rsid w:val="00036E9D"/>
    <w:rsid w:val="0003772F"/>
    <w:rsid w:val="00041C77"/>
    <w:rsid w:val="00042FD5"/>
    <w:rsid w:val="0004315C"/>
    <w:rsid w:val="0004486D"/>
    <w:rsid w:val="0004557B"/>
    <w:rsid w:val="000472D9"/>
    <w:rsid w:val="00047DB7"/>
    <w:rsid w:val="00053BDB"/>
    <w:rsid w:val="00053C5F"/>
    <w:rsid w:val="00054C33"/>
    <w:rsid w:val="00054D06"/>
    <w:rsid w:val="00056973"/>
    <w:rsid w:val="00057DC0"/>
    <w:rsid w:val="0006176A"/>
    <w:rsid w:val="000646D3"/>
    <w:rsid w:val="00065840"/>
    <w:rsid w:val="000672B2"/>
    <w:rsid w:val="0006733D"/>
    <w:rsid w:val="000728B9"/>
    <w:rsid w:val="00072D4C"/>
    <w:rsid w:val="00074BF1"/>
    <w:rsid w:val="00075A79"/>
    <w:rsid w:val="000804BB"/>
    <w:rsid w:val="00082AA4"/>
    <w:rsid w:val="000837A9"/>
    <w:rsid w:val="0008693B"/>
    <w:rsid w:val="00087287"/>
    <w:rsid w:val="0008738E"/>
    <w:rsid w:val="00093E7E"/>
    <w:rsid w:val="0009595E"/>
    <w:rsid w:val="0009679F"/>
    <w:rsid w:val="00096F03"/>
    <w:rsid w:val="000A02F0"/>
    <w:rsid w:val="000A28EE"/>
    <w:rsid w:val="000A2E10"/>
    <w:rsid w:val="000A3132"/>
    <w:rsid w:val="000A3389"/>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4BC"/>
    <w:rsid w:val="000C7A8C"/>
    <w:rsid w:val="000D06B4"/>
    <w:rsid w:val="000D0915"/>
    <w:rsid w:val="000D1E9A"/>
    <w:rsid w:val="000D3F86"/>
    <w:rsid w:val="000D54C6"/>
    <w:rsid w:val="000D5C69"/>
    <w:rsid w:val="000D6CFC"/>
    <w:rsid w:val="000E005A"/>
    <w:rsid w:val="000E16EB"/>
    <w:rsid w:val="000E284C"/>
    <w:rsid w:val="000E469E"/>
    <w:rsid w:val="000E4A2D"/>
    <w:rsid w:val="000E69EA"/>
    <w:rsid w:val="000F3EA8"/>
    <w:rsid w:val="000F7730"/>
    <w:rsid w:val="000F7EFE"/>
    <w:rsid w:val="001010BC"/>
    <w:rsid w:val="001012D3"/>
    <w:rsid w:val="00101381"/>
    <w:rsid w:val="001033DD"/>
    <w:rsid w:val="0010457E"/>
    <w:rsid w:val="00106E00"/>
    <w:rsid w:val="001075FF"/>
    <w:rsid w:val="00107BEA"/>
    <w:rsid w:val="00107C99"/>
    <w:rsid w:val="00110AF0"/>
    <w:rsid w:val="00112480"/>
    <w:rsid w:val="001135BD"/>
    <w:rsid w:val="0011471D"/>
    <w:rsid w:val="00114A5F"/>
    <w:rsid w:val="00115249"/>
    <w:rsid w:val="00116720"/>
    <w:rsid w:val="001200EA"/>
    <w:rsid w:val="001206F8"/>
    <w:rsid w:val="001211BC"/>
    <w:rsid w:val="00121877"/>
    <w:rsid w:val="00121E7E"/>
    <w:rsid w:val="00122A76"/>
    <w:rsid w:val="00124CC0"/>
    <w:rsid w:val="00126E09"/>
    <w:rsid w:val="00126E20"/>
    <w:rsid w:val="00127382"/>
    <w:rsid w:val="001279D6"/>
    <w:rsid w:val="00130253"/>
    <w:rsid w:val="00130399"/>
    <w:rsid w:val="00131A87"/>
    <w:rsid w:val="001321AF"/>
    <w:rsid w:val="00132A1B"/>
    <w:rsid w:val="00132BEB"/>
    <w:rsid w:val="001354B3"/>
    <w:rsid w:val="00135703"/>
    <w:rsid w:val="00135ED2"/>
    <w:rsid w:val="001373BD"/>
    <w:rsid w:val="00137B0F"/>
    <w:rsid w:val="0014010C"/>
    <w:rsid w:val="0014085D"/>
    <w:rsid w:val="00141DB0"/>
    <w:rsid w:val="00143961"/>
    <w:rsid w:val="0014420A"/>
    <w:rsid w:val="00144695"/>
    <w:rsid w:val="00152729"/>
    <w:rsid w:val="00152EF4"/>
    <w:rsid w:val="001534BC"/>
    <w:rsid w:val="00153528"/>
    <w:rsid w:val="001541D5"/>
    <w:rsid w:val="00154A79"/>
    <w:rsid w:val="0015718A"/>
    <w:rsid w:val="00160177"/>
    <w:rsid w:val="00161258"/>
    <w:rsid w:val="0016596F"/>
    <w:rsid w:val="001662E7"/>
    <w:rsid w:val="001676CE"/>
    <w:rsid w:val="00167C76"/>
    <w:rsid w:val="00170FF0"/>
    <w:rsid w:val="00172031"/>
    <w:rsid w:val="0017415A"/>
    <w:rsid w:val="00174296"/>
    <w:rsid w:val="00175920"/>
    <w:rsid w:val="00175B60"/>
    <w:rsid w:val="00177026"/>
    <w:rsid w:val="00177BF8"/>
    <w:rsid w:val="00177DC6"/>
    <w:rsid w:val="00180049"/>
    <w:rsid w:val="00180817"/>
    <w:rsid w:val="00180AC2"/>
    <w:rsid w:val="00182B95"/>
    <w:rsid w:val="001842CE"/>
    <w:rsid w:val="00185345"/>
    <w:rsid w:val="001905A3"/>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4EA6"/>
    <w:rsid w:val="001A5826"/>
    <w:rsid w:val="001A5EDE"/>
    <w:rsid w:val="001A6300"/>
    <w:rsid w:val="001A7CB3"/>
    <w:rsid w:val="001B0348"/>
    <w:rsid w:val="001B2C61"/>
    <w:rsid w:val="001B3867"/>
    <w:rsid w:val="001C0D39"/>
    <w:rsid w:val="001C2EA0"/>
    <w:rsid w:val="001C5A24"/>
    <w:rsid w:val="001C5C0D"/>
    <w:rsid w:val="001C763C"/>
    <w:rsid w:val="001D028C"/>
    <w:rsid w:val="001D129D"/>
    <w:rsid w:val="001D131B"/>
    <w:rsid w:val="001D50EA"/>
    <w:rsid w:val="001D7017"/>
    <w:rsid w:val="001D72E5"/>
    <w:rsid w:val="001D7D29"/>
    <w:rsid w:val="001E0941"/>
    <w:rsid w:val="001E0C3C"/>
    <w:rsid w:val="001E19B5"/>
    <w:rsid w:val="001E3B39"/>
    <w:rsid w:val="001E4813"/>
    <w:rsid w:val="001E63A1"/>
    <w:rsid w:val="001E7D11"/>
    <w:rsid w:val="001F20F2"/>
    <w:rsid w:val="001F3A4A"/>
    <w:rsid w:val="001F3BC6"/>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12C"/>
    <w:rsid w:val="0021550F"/>
    <w:rsid w:val="00216D2C"/>
    <w:rsid w:val="00217582"/>
    <w:rsid w:val="00217E5C"/>
    <w:rsid w:val="00220954"/>
    <w:rsid w:val="0022164C"/>
    <w:rsid w:val="002223A7"/>
    <w:rsid w:val="00222897"/>
    <w:rsid w:val="0022363F"/>
    <w:rsid w:val="00227F86"/>
    <w:rsid w:val="00232D07"/>
    <w:rsid w:val="00233A56"/>
    <w:rsid w:val="00235394"/>
    <w:rsid w:val="00235A9B"/>
    <w:rsid w:val="00236823"/>
    <w:rsid w:val="00237173"/>
    <w:rsid w:val="00237D23"/>
    <w:rsid w:val="00241D4B"/>
    <w:rsid w:val="0024493A"/>
    <w:rsid w:val="00245B82"/>
    <w:rsid w:val="0024674A"/>
    <w:rsid w:val="0025028C"/>
    <w:rsid w:val="002506F0"/>
    <w:rsid w:val="00252EB7"/>
    <w:rsid w:val="00253930"/>
    <w:rsid w:val="00253CD8"/>
    <w:rsid w:val="002549FC"/>
    <w:rsid w:val="002570A5"/>
    <w:rsid w:val="00257500"/>
    <w:rsid w:val="0026179F"/>
    <w:rsid w:val="00265893"/>
    <w:rsid w:val="0026698C"/>
    <w:rsid w:val="00274E1A"/>
    <w:rsid w:val="00275368"/>
    <w:rsid w:val="00275E1D"/>
    <w:rsid w:val="00276F76"/>
    <w:rsid w:val="002770F4"/>
    <w:rsid w:val="00281609"/>
    <w:rsid w:val="00282213"/>
    <w:rsid w:val="002863A3"/>
    <w:rsid w:val="00287850"/>
    <w:rsid w:val="00287BC6"/>
    <w:rsid w:val="00287D65"/>
    <w:rsid w:val="00290D7F"/>
    <w:rsid w:val="0029193E"/>
    <w:rsid w:val="00292870"/>
    <w:rsid w:val="0029299D"/>
    <w:rsid w:val="00293E3A"/>
    <w:rsid w:val="00297444"/>
    <w:rsid w:val="00297FB4"/>
    <w:rsid w:val="002A0175"/>
    <w:rsid w:val="002A116B"/>
    <w:rsid w:val="002A2935"/>
    <w:rsid w:val="002A2D8B"/>
    <w:rsid w:val="002A4C60"/>
    <w:rsid w:val="002A5978"/>
    <w:rsid w:val="002A63E4"/>
    <w:rsid w:val="002A6FE9"/>
    <w:rsid w:val="002B19E9"/>
    <w:rsid w:val="002B1B3B"/>
    <w:rsid w:val="002B3815"/>
    <w:rsid w:val="002B419D"/>
    <w:rsid w:val="002B429C"/>
    <w:rsid w:val="002B492D"/>
    <w:rsid w:val="002B6292"/>
    <w:rsid w:val="002B6CEF"/>
    <w:rsid w:val="002B7BC4"/>
    <w:rsid w:val="002B7BFF"/>
    <w:rsid w:val="002C3F4C"/>
    <w:rsid w:val="002C5300"/>
    <w:rsid w:val="002C677B"/>
    <w:rsid w:val="002D06F5"/>
    <w:rsid w:val="002D0FCD"/>
    <w:rsid w:val="002D1BF6"/>
    <w:rsid w:val="002D2C39"/>
    <w:rsid w:val="002D36ED"/>
    <w:rsid w:val="002D402C"/>
    <w:rsid w:val="002D44AF"/>
    <w:rsid w:val="002D483F"/>
    <w:rsid w:val="002D59A0"/>
    <w:rsid w:val="002D69AB"/>
    <w:rsid w:val="002E0151"/>
    <w:rsid w:val="002E08D7"/>
    <w:rsid w:val="002E3123"/>
    <w:rsid w:val="002E42E8"/>
    <w:rsid w:val="002E4368"/>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2C96"/>
    <w:rsid w:val="0030466C"/>
    <w:rsid w:val="00304CD6"/>
    <w:rsid w:val="003052DA"/>
    <w:rsid w:val="003068AB"/>
    <w:rsid w:val="0030693F"/>
    <w:rsid w:val="003071FF"/>
    <w:rsid w:val="00311FDC"/>
    <w:rsid w:val="00313089"/>
    <w:rsid w:val="003140CB"/>
    <w:rsid w:val="003168BC"/>
    <w:rsid w:val="00317783"/>
    <w:rsid w:val="003210CC"/>
    <w:rsid w:val="0032165D"/>
    <w:rsid w:val="00322BBD"/>
    <w:rsid w:val="003230B0"/>
    <w:rsid w:val="00323842"/>
    <w:rsid w:val="00324A31"/>
    <w:rsid w:val="00325AD5"/>
    <w:rsid w:val="00326B16"/>
    <w:rsid w:val="00330AB0"/>
    <w:rsid w:val="00331B14"/>
    <w:rsid w:val="00331F8D"/>
    <w:rsid w:val="00331F9B"/>
    <w:rsid w:val="003366B3"/>
    <w:rsid w:val="003372ED"/>
    <w:rsid w:val="003379C2"/>
    <w:rsid w:val="00337E39"/>
    <w:rsid w:val="00340510"/>
    <w:rsid w:val="003409B7"/>
    <w:rsid w:val="003411C2"/>
    <w:rsid w:val="00342018"/>
    <w:rsid w:val="00342AAB"/>
    <w:rsid w:val="00343440"/>
    <w:rsid w:val="003435C5"/>
    <w:rsid w:val="00343BE6"/>
    <w:rsid w:val="00345B4F"/>
    <w:rsid w:val="00350C71"/>
    <w:rsid w:val="00350E37"/>
    <w:rsid w:val="003540D1"/>
    <w:rsid w:val="00354EBB"/>
    <w:rsid w:val="00355BF1"/>
    <w:rsid w:val="00356531"/>
    <w:rsid w:val="003569A0"/>
    <w:rsid w:val="003579DB"/>
    <w:rsid w:val="00357DDA"/>
    <w:rsid w:val="00361B1B"/>
    <w:rsid w:val="003628F4"/>
    <w:rsid w:val="00362BD0"/>
    <w:rsid w:val="003634CC"/>
    <w:rsid w:val="0036363F"/>
    <w:rsid w:val="00364521"/>
    <w:rsid w:val="00364CFD"/>
    <w:rsid w:val="00364D8E"/>
    <w:rsid w:val="00367724"/>
    <w:rsid w:val="00367D08"/>
    <w:rsid w:val="0037097E"/>
    <w:rsid w:val="00370A07"/>
    <w:rsid w:val="00370A22"/>
    <w:rsid w:val="00372352"/>
    <w:rsid w:val="003747D5"/>
    <w:rsid w:val="00377B02"/>
    <w:rsid w:val="00380F82"/>
    <w:rsid w:val="003816B4"/>
    <w:rsid w:val="0038413C"/>
    <w:rsid w:val="00384502"/>
    <w:rsid w:val="00384510"/>
    <w:rsid w:val="00386E93"/>
    <w:rsid w:val="003969DE"/>
    <w:rsid w:val="003976A8"/>
    <w:rsid w:val="003978CE"/>
    <w:rsid w:val="003A26DF"/>
    <w:rsid w:val="003A3A62"/>
    <w:rsid w:val="003A5FA4"/>
    <w:rsid w:val="003A6535"/>
    <w:rsid w:val="003A7FDA"/>
    <w:rsid w:val="003B037E"/>
    <w:rsid w:val="003B1CD7"/>
    <w:rsid w:val="003B25A7"/>
    <w:rsid w:val="003B360D"/>
    <w:rsid w:val="003B512C"/>
    <w:rsid w:val="003B5CA8"/>
    <w:rsid w:val="003B63FF"/>
    <w:rsid w:val="003B7BF8"/>
    <w:rsid w:val="003C0127"/>
    <w:rsid w:val="003C245B"/>
    <w:rsid w:val="003C2562"/>
    <w:rsid w:val="003C2DC1"/>
    <w:rsid w:val="003C3166"/>
    <w:rsid w:val="003C3679"/>
    <w:rsid w:val="003C4DF7"/>
    <w:rsid w:val="003C7C79"/>
    <w:rsid w:val="003D0233"/>
    <w:rsid w:val="003D187B"/>
    <w:rsid w:val="003D1F33"/>
    <w:rsid w:val="003D3659"/>
    <w:rsid w:val="003D40E4"/>
    <w:rsid w:val="003D4535"/>
    <w:rsid w:val="003D524F"/>
    <w:rsid w:val="003D5DA3"/>
    <w:rsid w:val="003D716A"/>
    <w:rsid w:val="003E040F"/>
    <w:rsid w:val="003E05F6"/>
    <w:rsid w:val="003E39EA"/>
    <w:rsid w:val="003E4FFB"/>
    <w:rsid w:val="003E5EAB"/>
    <w:rsid w:val="003E5F52"/>
    <w:rsid w:val="003F04F5"/>
    <w:rsid w:val="003F1503"/>
    <w:rsid w:val="003F1B8C"/>
    <w:rsid w:val="003F2A81"/>
    <w:rsid w:val="003F61EF"/>
    <w:rsid w:val="003F6410"/>
    <w:rsid w:val="00401562"/>
    <w:rsid w:val="004026D3"/>
    <w:rsid w:val="00404575"/>
    <w:rsid w:val="004048A8"/>
    <w:rsid w:val="00405038"/>
    <w:rsid w:val="00405657"/>
    <w:rsid w:val="0040683D"/>
    <w:rsid w:val="00407387"/>
    <w:rsid w:val="00410598"/>
    <w:rsid w:val="00412D42"/>
    <w:rsid w:val="00413D74"/>
    <w:rsid w:val="00413DD8"/>
    <w:rsid w:val="0041441E"/>
    <w:rsid w:val="004145EC"/>
    <w:rsid w:val="00415DFC"/>
    <w:rsid w:val="0041688B"/>
    <w:rsid w:val="00422A70"/>
    <w:rsid w:val="00423C66"/>
    <w:rsid w:val="004240C8"/>
    <w:rsid w:val="00424896"/>
    <w:rsid w:val="00424ED4"/>
    <w:rsid w:val="00427DBF"/>
    <w:rsid w:val="00427E28"/>
    <w:rsid w:val="00430AFB"/>
    <w:rsid w:val="00433199"/>
    <w:rsid w:val="00434B8D"/>
    <w:rsid w:val="00436299"/>
    <w:rsid w:val="00436340"/>
    <w:rsid w:val="00436526"/>
    <w:rsid w:val="00436B8D"/>
    <w:rsid w:val="004439AA"/>
    <w:rsid w:val="00444225"/>
    <w:rsid w:val="004446E3"/>
    <w:rsid w:val="0044550E"/>
    <w:rsid w:val="00445D09"/>
    <w:rsid w:val="00445D1B"/>
    <w:rsid w:val="0044690C"/>
    <w:rsid w:val="004502EA"/>
    <w:rsid w:val="0045233E"/>
    <w:rsid w:val="00452AF3"/>
    <w:rsid w:val="004539A7"/>
    <w:rsid w:val="00454F89"/>
    <w:rsid w:val="00456BEA"/>
    <w:rsid w:val="00457C47"/>
    <w:rsid w:val="00461DC0"/>
    <w:rsid w:val="004652DB"/>
    <w:rsid w:val="004653CD"/>
    <w:rsid w:val="00467776"/>
    <w:rsid w:val="004707C7"/>
    <w:rsid w:val="004714C0"/>
    <w:rsid w:val="00472056"/>
    <w:rsid w:val="004720D7"/>
    <w:rsid w:val="004724B3"/>
    <w:rsid w:val="00474A93"/>
    <w:rsid w:val="00476FC9"/>
    <w:rsid w:val="00481B8C"/>
    <w:rsid w:val="004825DC"/>
    <w:rsid w:val="00482CB5"/>
    <w:rsid w:val="004850AC"/>
    <w:rsid w:val="00485876"/>
    <w:rsid w:val="00487CBA"/>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F64"/>
    <w:rsid w:val="004A6A03"/>
    <w:rsid w:val="004B253D"/>
    <w:rsid w:val="004B26E9"/>
    <w:rsid w:val="004B3C4D"/>
    <w:rsid w:val="004B3C64"/>
    <w:rsid w:val="004B5802"/>
    <w:rsid w:val="004B5C7C"/>
    <w:rsid w:val="004B636D"/>
    <w:rsid w:val="004B65B3"/>
    <w:rsid w:val="004C0650"/>
    <w:rsid w:val="004C151B"/>
    <w:rsid w:val="004C37E2"/>
    <w:rsid w:val="004C4D28"/>
    <w:rsid w:val="004C58A6"/>
    <w:rsid w:val="004C63F9"/>
    <w:rsid w:val="004C7494"/>
    <w:rsid w:val="004D1531"/>
    <w:rsid w:val="004D1BEE"/>
    <w:rsid w:val="004D2818"/>
    <w:rsid w:val="004D43D5"/>
    <w:rsid w:val="004D578D"/>
    <w:rsid w:val="004D658B"/>
    <w:rsid w:val="004D69A7"/>
    <w:rsid w:val="004E0379"/>
    <w:rsid w:val="004E13F4"/>
    <w:rsid w:val="004E23DE"/>
    <w:rsid w:val="004E32DC"/>
    <w:rsid w:val="004E34F7"/>
    <w:rsid w:val="004E4003"/>
    <w:rsid w:val="004E500C"/>
    <w:rsid w:val="004E5190"/>
    <w:rsid w:val="004E7758"/>
    <w:rsid w:val="004F03DF"/>
    <w:rsid w:val="004F0B5D"/>
    <w:rsid w:val="004F59A8"/>
    <w:rsid w:val="004F5AB7"/>
    <w:rsid w:val="004F74EA"/>
    <w:rsid w:val="00501517"/>
    <w:rsid w:val="005024F0"/>
    <w:rsid w:val="00503690"/>
    <w:rsid w:val="00503C68"/>
    <w:rsid w:val="00504C1D"/>
    <w:rsid w:val="00505BFA"/>
    <w:rsid w:val="00506586"/>
    <w:rsid w:val="005111CD"/>
    <w:rsid w:val="00513C96"/>
    <w:rsid w:val="00513E1C"/>
    <w:rsid w:val="00516B26"/>
    <w:rsid w:val="00520147"/>
    <w:rsid w:val="005203DE"/>
    <w:rsid w:val="00520B8A"/>
    <w:rsid w:val="0052180F"/>
    <w:rsid w:val="00523A04"/>
    <w:rsid w:val="00525243"/>
    <w:rsid w:val="005259DC"/>
    <w:rsid w:val="005265BC"/>
    <w:rsid w:val="0052731E"/>
    <w:rsid w:val="005303DB"/>
    <w:rsid w:val="00530918"/>
    <w:rsid w:val="00530A13"/>
    <w:rsid w:val="00530F0C"/>
    <w:rsid w:val="00536AB5"/>
    <w:rsid w:val="005400D0"/>
    <w:rsid w:val="005406D9"/>
    <w:rsid w:val="005412AC"/>
    <w:rsid w:val="00551B47"/>
    <w:rsid w:val="005534EE"/>
    <w:rsid w:val="00554600"/>
    <w:rsid w:val="00556A55"/>
    <w:rsid w:val="00561966"/>
    <w:rsid w:val="00563111"/>
    <w:rsid w:val="00564539"/>
    <w:rsid w:val="005724AC"/>
    <w:rsid w:val="00575876"/>
    <w:rsid w:val="00577349"/>
    <w:rsid w:val="005777AA"/>
    <w:rsid w:val="00577842"/>
    <w:rsid w:val="00580522"/>
    <w:rsid w:val="005806AA"/>
    <w:rsid w:val="00580EF2"/>
    <w:rsid w:val="00585B2A"/>
    <w:rsid w:val="0058668B"/>
    <w:rsid w:val="00586BDE"/>
    <w:rsid w:val="005937DC"/>
    <w:rsid w:val="00593800"/>
    <w:rsid w:val="005950CF"/>
    <w:rsid w:val="00595B59"/>
    <w:rsid w:val="005A023B"/>
    <w:rsid w:val="005A17B1"/>
    <w:rsid w:val="005A6683"/>
    <w:rsid w:val="005B193D"/>
    <w:rsid w:val="005B1F15"/>
    <w:rsid w:val="005B3E06"/>
    <w:rsid w:val="005B3F53"/>
    <w:rsid w:val="005B4416"/>
    <w:rsid w:val="005B4EE5"/>
    <w:rsid w:val="005B5C1C"/>
    <w:rsid w:val="005B7BAE"/>
    <w:rsid w:val="005C019D"/>
    <w:rsid w:val="005C2457"/>
    <w:rsid w:val="005C453E"/>
    <w:rsid w:val="005C4CA3"/>
    <w:rsid w:val="005C4E15"/>
    <w:rsid w:val="005C4F05"/>
    <w:rsid w:val="005C6F72"/>
    <w:rsid w:val="005C74BE"/>
    <w:rsid w:val="005C7CB5"/>
    <w:rsid w:val="005D2673"/>
    <w:rsid w:val="005D3059"/>
    <w:rsid w:val="005D47F0"/>
    <w:rsid w:val="005D4C01"/>
    <w:rsid w:val="005D6018"/>
    <w:rsid w:val="005E009C"/>
    <w:rsid w:val="005E0178"/>
    <w:rsid w:val="005E0DCD"/>
    <w:rsid w:val="005E13D4"/>
    <w:rsid w:val="005E305C"/>
    <w:rsid w:val="005E4724"/>
    <w:rsid w:val="005E53EA"/>
    <w:rsid w:val="005E595B"/>
    <w:rsid w:val="005E5985"/>
    <w:rsid w:val="005E7768"/>
    <w:rsid w:val="005E7E39"/>
    <w:rsid w:val="005F402C"/>
    <w:rsid w:val="005F4A07"/>
    <w:rsid w:val="005F55A3"/>
    <w:rsid w:val="005F55F8"/>
    <w:rsid w:val="005F57B4"/>
    <w:rsid w:val="005F58BD"/>
    <w:rsid w:val="005F626E"/>
    <w:rsid w:val="006002C5"/>
    <w:rsid w:val="006003DF"/>
    <w:rsid w:val="00601791"/>
    <w:rsid w:val="00601BCD"/>
    <w:rsid w:val="006033BC"/>
    <w:rsid w:val="0060469B"/>
    <w:rsid w:val="00607FC1"/>
    <w:rsid w:val="0061035E"/>
    <w:rsid w:val="00610787"/>
    <w:rsid w:val="0061230B"/>
    <w:rsid w:val="00615DD4"/>
    <w:rsid w:val="0061710E"/>
    <w:rsid w:val="00617472"/>
    <w:rsid w:val="00617873"/>
    <w:rsid w:val="00620F88"/>
    <w:rsid w:val="00621321"/>
    <w:rsid w:val="00622066"/>
    <w:rsid w:val="006226BC"/>
    <w:rsid w:val="00624011"/>
    <w:rsid w:val="00626758"/>
    <w:rsid w:val="00627E7B"/>
    <w:rsid w:val="0063019F"/>
    <w:rsid w:val="0063052A"/>
    <w:rsid w:val="00630F44"/>
    <w:rsid w:val="0063135D"/>
    <w:rsid w:val="006320EF"/>
    <w:rsid w:val="0063516A"/>
    <w:rsid w:val="00636BCC"/>
    <w:rsid w:val="006428A0"/>
    <w:rsid w:val="0064474D"/>
    <w:rsid w:val="00644C1A"/>
    <w:rsid w:val="00644DBB"/>
    <w:rsid w:val="00646C17"/>
    <w:rsid w:val="00650697"/>
    <w:rsid w:val="00651346"/>
    <w:rsid w:val="006517D0"/>
    <w:rsid w:val="006525CF"/>
    <w:rsid w:val="0065310A"/>
    <w:rsid w:val="006534D9"/>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602C"/>
    <w:rsid w:val="0068666D"/>
    <w:rsid w:val="00687104"/>
    <w:rsid w:val="00690EB8"/>
    <w:rsid w:val="00692002"/>
    <w:rsid w:val="00692087"/>
    <w:rsid w:val="00695179"/>
    <w:rsid w:val="006A5938"/>
    <w:rsid w:val="006B2F94"/>
    <w:rsid w:val="006B3667"/>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69C6"/>
    <w:rsid w:val="006D777A"/>
    <w:rsid w:val="006E0979"/>
    <w:rsid w:val="006E0A9D"/>
    <w:rsid w:val="006E4AA9"/>
    <w:rsid w:val="006E50C9"/>
    <w:rsid w:val="006E6BF4"/>
    <w:rsid w:val="006E77B3"/>
    <w:rsid w:val="006E7B14"/>
    <w:rsid w:val="006F24CF"/>
    <w:rsid w:val="006F2CE0"/>
    <w:rsid w:val="006F334B"/>
    <w:rsid w:val="006F3E4F"/>
    <w:rsid w:val="006F75CC"/>
    <w:rsid w:val="00702D49"/>
    <w:rsid w:val="007033C1"/>
    <w:rsid w:val="00704E63"/>
    <w:rsid w:val="0070646B"/>
    <w:rsid w:val="00710FE8"/>
    <w:rsid w:val="0071157A"/>
    <w:rsid w:val="00711C41"/>
    <w:rsid w:val="00712C29"/>
    <w:rsid w:val="00713B22"/>
    <w:rsid w:val="00720176"/>
    <w:rsid w:val="00722229"/>
    <w:rsid w:val="00722727"/>
    <w:rsid w:val="00723177"/>
    <w:rsid w:val="00725F80"/>
    <w:rsid w:val="00727C1E"/>
    <w:rsid w:val="007314A7"/>
    <w:rsid w:val="0073431D"/>
    <w:rsid w:val="0073609F"/>
    <w:rsid w:val="00736380"/>
    <w:rsid w:val="00736E54"/>
    <w:rsid w:val="00737559"/>
    <w:rsid w:val="0074015A"/>
    <w:rsid w:val="00741B4A"/>
    <w:rsid w:val="007428EA"/>
    <w:rsid w:val="00743747"/>
    <w:rsid w:val="00744542"/>
    <w:rsid w:val="00744EEC"/>
    <w:rsid w:val="00750F62"/>
    <w:rsid w:val="00751010"/>
    <w:rsid w:val="007519A7"/>
    <w:rsid w:val="00751D28"/>
    <w:rsid w:val="00753075"/>
    <w:rsid w:val="00755538"/>
    <w:rsid w:val="00755EDF"/>
    <w:rsid w:val="0076011B"/>
    <w:rsid w:val="007602AE"/>
    <w:rsid w:val="007631D5"/>
    <w:rsid w:val="007631E2"/>
    <w:rsid w:val="00763228"/>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D1C"/>
    <w:rsid w:val="00791181"/>
    <w:rsid w:val="00791352"/>
    <w:rsid w:val="00791693"/>
    <w:rsid w:val="007A723E"/>
    <w:rsid w:val="007B0E4F"/>
    <w:rsid w:val="007B1CFE"/>
    <w:rsid w:val="007B1F25"/>
    <w:rsid w:val="007B2CD3"/>
    <w:rsid w:val="007B2D72"/>
    <w:rsid w:val="007B2E9F"/>
    <w:rsid w:val="007B40A9"/>
    <w:rsid w:val="007B532B"/>
    <w:rsid w:val="007B54D9"/>
    <w:rsid w:val="007B55E9"/>
    <w:rsid w:val="007B68B1"/>
    <w:rsid w:val="007B6B88"/>
    <w:rsid w:val="007C024D"/>
    <w:rsid w:val="007C06B4"/>
    <w:rsid w:val="007C136B"/>
    <w:rsid w:val="007C6033"/>
    <w:rsid w:val="007C610E"/>
    <w:rsid w:val="007C7639"/>
    <w:rsid w:val="007D02A3"/>
    <w:rsid w:val="007D0F9C"/>
    <w:rsid w:val="007D12E6"/>
    <w:rsid w:val="007D5710"/>
    <w:rsid w:val="007D5A92"/>
    <w:rsid w:val="007D72B4"/>
    <w:rsid w:val="007D7B79"/>
    <w:rsid w:val="007E0CEA"/>
    <w:rsid w:val="007E106C"/>
    <w:rsid w:val="007E3046"/>
    <w:rsid w:val="007E6972"/>
    <w:rsid w:val="007E747B"/>
    <w:rsid w:val="007E791F"/>
    <w:rsid w:val="007F0E1E"/>
    <w:rsid w:val="007F1890"/>
    <w:rsid w:val="007F44A0"/>
    <w:rsid w:val="007F47E9"/>
    <w:rsid w:val="007F51FF"/>
    <w:rsid w:val="007F5E10"/>
    <w:rsid w:val="007F62EA"/>
    <w:rsid w:val="007F7C35"/>
    <w:rsid w:val="007F7C99"/>
    <w:rsid w:val="008004A9"/>
    <w:rsid w:val="0080168B"/>
    <w:rsid w:val="0080184F"/>
    <w:rsid w:val="00801F03"/>
    <w:rsid w:val="00803723"/>
    <w:rsid w:val="008041B2"/>
    <w:rsid w:val="008056C8"/>
    <w:rsid w:val="00806C5F"/>
    <w:rsid w:val="00807BBB"/>
    <w:rsid w:val="00807D4E"/>
    <w:rsid w:val="0081359C"/>
    <w:rsid w:val="00814B66"/>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A18"/>
    <w:rsid w:val="00840EF5"/>
    <w:rsid w:val="008419F9"/>
    <w:rsid w:val="00841B85"/>
    <w:rsid w:val="00843E19"/>
    <w:rsid w:val="00844059"/>
    <w:rsid w:val="00844166"/>
    <w:rsid w:val="008448CC"/>
    <w:rsid w:val="008454C1"/>
    <w:rsid w:val="008458F7"/>
    <w:rsid w:val="0084674D"/>
    <w:rsid w:val="00847492"/>
    <w:rsid w:val="008479D6"/>
    <w:rsid w:val="00850984"/>
    <w:rsid w:val="00850BE7"/>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63AB"/>
    <w:rsid w:val="0086720F"/>
    <w:rsid w:val="0086760C"/>
    <w:rsid w:val="00867DC9"/>
    <w:rsid w:val="00870260"/>
    <w:rsid w:val="00870761"/>
    <w:rsid w:val="00872F2F"/>
    <w:rsid w:val="00873416"/>
    <w:rsid w:val="0087462F"/>
    <w:rsid w:val="0087489E"/>
    <w:rsid w:val="00874A07"/>
    <w:rsid w:val="008773E3"/>
    <w:rsid w:val="0087757C"/>
    <w:rsid w:val="00883C72"/>
    <w:rsid w:val="00885164"/>
    <w:rsid w:val="0088633D"/>
    <w:rsid w:val="00887E30"/>
    <w:rsid w:val="00890EB9"/>
    <w:rsid w:val="00890FCC"/>
    <w:rsid w:val="00894A86"/>
    <w:rsid w:val="00895A68"/>
    <w:rsid w:val="00897C56"/>
    <w:rsid w:val="008A0232"/>
    <w:rsid w:val="008A0C8A"/>
    <w:rsid w:val="008A4519"/>
    <w:rsid w:val="008A5E57"/>
    <w:rsid w:val="008A618D"/>
    <w:rsid w:val="008A69F1"/>
    <w:rsid w:val="008A7975"/>
    <w:rsid w:val="008B0F4D"/>
    <w:rsid w:val="008B382D"/>
    <w:rsid w:val="008C0413"/>
    <w:rsid w:val="008C163F"/>
    <w:rsid w:val="008C2A5D"/>
    <w:rsid w:val="008C3442"/>
    <w:rsid w:val="008C60E9"/>
    <w:rsid w:val="008C61EE"/>
    <w:rsid w:val="008D0237"/>
    <w:rsid w:val="008D08B1"/>
    <w:rsid w:val="008D170D"/>
    <w:rsid w:val="008D1750"/>
    <w:rsid w:val="008D3F4C"/>
    <w:rsid w:val="008D455D"/>
    <w:rsid w:val="008D5FA7"/>
    <w:rsid w:val="008D685C"/>
    <w:rsid w:val="008D6D8B"/>
    <w:rsid w:val="008D77BB"/>
    <w:rsid w:val="008E08F7"/>
    <w:rsid w:val="008E177D"/>
    <w:rsid w:val="008E1BCA"/>
    <w:rsid w:val="008E3740"/>
    <w:rsid w:val="008E43EC"/>
    <w:rsid w:val="008E45FE"/>
    <w:rsid w:val="008E5342"/>
    <w:rsid w:val="008E5F9B"/>
    <w:rsid w:val="008E6B58"/>
    <w:rsid w:val="008E6CD8"/>
    <w:rsid w:val="008E6DBE"/>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FD0"/>
    <w:rsid w:val="009131D2"/>
    <w:rsid w:val="009140D0"/>
    <w:rsid w:val="00917279"/>
    <w:rsid w:val="00917AFE"/>
    <w:rsid w:val="009241CD"/>
    <w:rsid w:val="0092780E"/>
    <w:rsid w:val="00930696"/>
    <w:rsid w:val="00930751"/>
    <w:rsid w:val="00930E60"/>
    <w:rsid w:val="0093214D"/>
    <w:rsid w:val="0093302B"/>
    <w:rsid w:val="00934F9C"/>
    <w:rsid w:val="00936088"/>
    <w:rsid w:val="009367DB"/>
    <w:rsid w:val="0093767B"/>
    <w:rsid w:val="00937794"/>
    <w:rsid w:val="009414F1"/>
    <w:rsid w:val="00945A15"/>
    <w:rsid w:val="0094697D"/>
    <w:rsid w:val="00947318"/>
    <w:rsid w:val="00950F0C"/>
    <w:rsid w:val="0095102F"/>
    <w:rsid w:val="0095190C"/>
    <w:rsid w:val="0095462C"/>
    <w:rsid w:val="00954DF6"/>
    <w:rsid w:val="00955C2B"/>
    <w:rsid w:val="00955E63"/>
    <w:rsid w:val="00963A6D"/>
    <w:rsid w:val="00966610"/>
    <w:rsid w:val="0097077E"/>
    <w:rsid w:val="009710FF"/>
    <w:rsid w:val="00971389"/>
    <w:rsid w:val="00971B09"/>
    <w:rsid w:val="00972BAE"/>
    <w:rsid w:val="0097312F"/>
    <w:rsid w:val="00974CD3"/>
    <w:rsid w:val="00975596"/>
    <w:rsid w:val="009830AD"/>
    <w:rsid w:val="00983910"/>
    <w:rsid w:val="009849B6"/>
    <w:rsid w:val="009853B6"/>
    <w:rsid w:val="009873A2"/>
    <w:rsid w:val="00987779"/>
    <w:rsid w:val="00992112"/>
    <w:rsid w:val="009935B1"/>
    <w:rsid w:val="00994314"/>
    <w:rsid w:val="0099451D"/>
    <w:rsid w:val="009A019A"/>
    <w:rsid w:val="009A07BB"/>
    <w:rsid w:val="009A1174"/>
    <w:rsid w:val="009A1620"/>
    <w:rsid w:val="009A2DBD"/>
    <w:rsid w:val="009A4147"/>
    <w:rsid w:val="009A4FBA"/>
    <w:rsid w:val="009A5E57"/>
    <w:rsid w:val="009A665C"/>
    <w:rsid w:val="009B034E"/>
    <w:rsid w:val="009B03DE"/>
    <w:rsid w:val="009B0853"/>
    <w:rsid w:val="009B43BB"/>
    <w:rsid w:val="009B46EA"/>
    <w:rsid w:val="009B710B"/>
    <w:rsid w:val="009B7B37"/>
    <w:rsid w:val="009C0495"/>
    <w:rsid w:val="009C0727"/>
    <w:rsid w:val="009C15D1"/>
    <w:rsid w:val="009C3D08"/>
    <w:rsid w:val="009C5587"/>
    <w:rsid w:val="009C5A3F"/>
    <w:rsid w:val="009C7A70"/>
    <w:rsid w:val="009D1226"/>
    <w:rsid w:val="009D14BC"/>
    <w:rsid w:val="009D30A1"/>
    <w:rsid w:val="009D3818"/>
    <w:rsid w:val="009D63E2"/>
    <w:rsid w:val="009D66BA"/>
    <w:rsid w:val="009D70D7"/>
    <w:rsid w:val="009E0EA6"/>
    <w:rsid w:val="009E1E8A"/>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E87"/>
    <w:rsid w:val="00A25815"/>
    <w:rsid w:val="00A275EF"/>
    <w:rsid w:val="00A2789E"/>
    <w:rsid w:val="00A3036D"/>
    <w:rsid w:val="00A31BCD"/>
    <w:rsid w:val="00A32693"/>
    <w:rsid w:val="00A35C04"/>
    <w:rsid w:val="00A4100C"/>
    <w:rsid w:val="00A411E2"/>
    <w:rsid w:val="00A41F00"/>
    <w:rsid w:val="00A41FD3"/>
    <w:rsid w:val="00A4320B"/>
    <w:rsid w:val="00A4354B"/>
    <w:rsid w:val="00A45D73"/>
    <w:rsid w:val="00A5255F"/>
    <w:rsid w:val="00A5364F"/>
    <w:rsid w:val="00A546BB"/>
    <w:rsid w:val="00A550FF"/>
    <w:rsid w:val="00A566E3"/>
    <w:rsid w:val="00A56E39"/>
    <w:rsid w:val="00A64E33"/>
    <w:rsid w:val="00A64E87"/>
    <w:rsid w:val="00A6590A"/>
    <w:rsid w:val="00A6636A"/>
    <w:rsid w:val="00A66CB6"/>
    <w:rsid w:val="00A7008F"/>
    <w:rsid w:val="00A701AF"/>
    <w:rsid w:val="00A701CF"/>
    <w:rsid w:val="00A70460"/>
    <w:rsid w:val="00A74046"/>
    <w:rsid w:val="00A74C22"/>
    <w:rsid w:val="00A756C4"/>
    <w:rsid w:val="00A80E5A"/>
    <w:rsid w:val="00A80FFB"/>
    <w:rsid w:val="00A8132F"/>
    <w:rsid w:val="00A814D0"/>
    <w:rsid w:val="00A8197E"/>
    <w:rsid w:val="00A81B15"/>
    <w:rsid w:val="00A829DD"/>
    <w:rsid w:val="00A8405D"/>
    <w:rsid w:val="00A84282"/>
    <w:rsid w:val="00A85DBC"/>
    <w:rsid w:val="00A86D58"/>
    <w:rsid w:val="00A86F9E"/>
    <w:rsid w:val="00A911E9"/>
    <w:rsid w:val="00A9250F"/>
    <w:rsid w:val="00A92763"/>
    <w:rsid w:val="00A93808"/>
    <w:rsid w:val="00A93C1A"/>
    <w:rsid w:val="00A94061"/>
    <w:rsid w:val="00A94A47"/>
    <w:rsid w:val="00AA127E"/>
    <w:rsid w:val="00AA4F2D"/>
    <w:rsid w:val="00AA596D"/>
    <w:rsid w:val="00AA63BB"/>
    <w:rsid w:val="00AA7A65"/>
    <w:rsid w:val="00AB297C"/>
    <w:rsid w:val="00AB5E40"/>
    <w:rsid w:val="00AB6E69"/>
    <w:rsid w:val="00AB71FD"/>
    <w:rsid w:val="00AB7939"/>
    <w:rsid w:val="00AC0B1D"/>
    <w:rsid w:val="00AC1DE0"/>
    <w:rsid w:val="00AC3888"/>
    <w:rsid w:val="00AC5074"/>
    <w:rsid w:val="00AC581D"/>
    <w:rsid w:val="00AC66AC"/>
    <w:rsid w:val="00AC70B9"/>
    <w:rsid w:val="00AD2964"/>
    <w:rsid w:val="00AD6E87"/>
    <w:rsid w:val="00AD7469"/>
    <w:rsid w:val="00AE2ADB"/>
    <w:rsid w:val="00AE2B2E"/>
    <w:rsid w:val="00AE3123"/>
    <w:rsid w:val="00AE5070"/>
    <w:rsid w:val="00AE5297"/>
    <w:rsid w:val="00AE578C"/>
    <w:rsid w:val="00AE5981"/>
    <w:rsid w:val="00AE72FE"/>
    <w:rsid w:val="00AE78E1"/>
    <w:rsid w:val="00AE7BC6"/>
    <w:rsid w:val="00AF15BD"/>
    <w:rsid w:val="00AF2EAD"/>
    <w:rsid w:val="00AF4FA4"/>
    <w:rsid w:val="00AF5046"/>
    <w:rsid w:val="00AF543C"/>
    <w:rsid w:val="00AF574E"/>
    <w:rsid w:val="00AF6E50"/>
    <w:rsid w:val="00AF6E62"/>
    <w:rsid w:val="00AF7262"/>
    <w:rsid w:val="00B00D97"/>
    <w:rsid w:val="00B043D5"/>
    <w:rsid w:val="00B06B6F"/>
    <w:rsid w:val="00B06E40"/>
    <w:rsid w:val="00B073B3"/>
    <w:rsid w:val="00B07FAB"/>
    <w:rsid w:val="00B103BC"/>
    <w:rsid w:val="00B113F4"/>
    <w:rsid w:val="00B115B4"/>
    <w:rsid w:val="00B120CD"/>
    <w:rsid w:val="00B174A7"/>
    <w:rsid w:val="00B1773B"/>
    <w:rsid w:val="00B177E5"/>
    <w:rsid w:val="00B17DAA"/>
    <w:rsid w:val="00B20319"/>
    <w:rsid w:val="00B20E7E"/>
    <w:rsid w:val="00B21FA9"/>
    <w:rsid w:val="00B23CBD"/>
    <w:rsid w:val="00B24406"/>
    <w:rsid w:val="00B253A6"/>
    <w:rsid w:val="00B256FD"/>
    <w:rsid w:val="00B26901"/>
    <w:rsid w:val="00B27F9F"/>
    <w:rsid w:val="00B300C3"/>
    <w:rsid w:val="00B3269E"/>
    <w:rsid w:val="00B33106"/>
    <w:rsid w:val="00B33C5C"/>
    <w:rsid w:val="00B34765"/>
    <w:rsid w:val="00B3487D"/>
    <w:rsid w:val="00B34E41"/>
    <w:rsid w:val="00B363DD"/>
    <w:rsid w:val="00B36628"/>
    <w:rsid w:val="00B379D8"/>
    <w:rsid w:val="00B41AF8"/>
    <w:rsid w:val="00B422C8"/>
    <w:rsid w:val="00B42727"/>
    <w:rsid w:val="00B42F15"/>
    <w:rsid w:val="00B50BAA"/>
    <w:rsid w:val="00B51542"/>
    <w:rsid w:val="00B531C5"/>
    <w:rsid w:val="00B54550"/>
    <w:rsid w:val="00B604D4"/>
    <w:rsid w:val="00B609D8"/>
    <w:rsid w:val="00B61C74"/>
    <w:rsid w:val="00B62CD7"/>
    <w:rsid w:val="00B639B5"/>
    <w:rsid w:val="00B6460F"/>
    <w:rsid w:val="00B64E5F"/>
    <w:rsid w:val="00B65B4D"/>
    <w:rsid w:val="00B664FC"/>
    <w:rsid w:val="00B66CF3"/>
    <w:rsid w:val="00B67E76"/>
    <w:rsid w:val="00B75BCF"/>
    <w:rsid w:val="00B76818"/>
    <w:rsid w:val="00B80374"/>
    <w:rsid w:val="00B809A2"/>
    <w:rsid w:val="00B80F90"/>
    <w:rsid w:val="00B8139B"/>
    <w:rsid w:val="00B82065"/>
    <w:rsid w:val="00B82EDE"/>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68DE"/>
    <w:rsid w:val="00BA6C82"/>
    <w:rsid w:val="00BB142C"/>
    <w:rsid w:val="00BB16F7"/>
    <w:rsid w:val="00BB32FD"/>
    <w:rsid w:val="00BB3DBB"/>
    <w:rsid w:val="00BB5041"/>
    <w:rsid w:val="00BB6469"/>
    <w:rsid w:val="00BB772A"/>
    <w:rsid w:val="00BB7E52"/>
    <w:rsid w:val="00BC0F87"/>
    <w:rsid w:val="00BC14FA"/>
    <w:rsid w:val="00BC2AC3"/>
    <w:rsid w:val="00BC68B8"/>
    <w:rsid w:val="00BC6CA4"/>
    <w:rsid w:val="00BC7C82"/>
    <w:rsid w:val="00BD2DC3"/>
    <w:rsid w:val="00BD5873"/>
    <w:rsid w:val="00BD6500"/>
    <w:rsid w:val="00BD6697"/>
    <w:rsid w:val="00BD67BA"/>
    <w:rsid w:val="00BD6F7A"/>
    <w:rsid w:val="00BD6F88"/>
    <w:rsid w:val="00BD78A8"/>
    <w:rsid w:val="00BD791E"/>
    <w:rsid w:val="00BE1360"/>
    <w:rsid w:val="00BE2152"/>
    <w:rsid w:val="00BE2338"/>
    <w:rsid w:val="00BE3E91"/>
    <w:rsid w:val="00BE42B7"/>
    <w:rsid w:val="00BE69A3"/>
    <w:rsid w:val="00BE7DB4"/>
    <w:rsid w:val="00BF0158"/>
    <w:rsid w:val="00BF092F"/>
    <w:rsid w:val="00BF1F30"/>
    <w:rsid w:val="00BF43A7"/>
    <w:rsid w:val="00BF5D84"/>
    <w:rsid w:val="00BF61CA"/>
    <w:rsid w:val="00BF6F01"/>
    <w:rsid w:val="00C0062E"/>
    <w:rsid w:val="00C02377"/>
    <w:rsid w:val="00C02E33"/>
    <w:rsid w:val="00C04F3A"/>
    <w:rsid w:val="00C062F2"/>
    <w:rsid w:val="00C06E1F"/>
    <w:rsid w:val="00C06FC1"/>
    <w:rsid w:val="00C120DC"/>
    <w:rsid w:val="00C12789"/>
    <w:rsid w:val="00C130F8"/>
    <w:rsid w:val="00C13326"/>
    <w:rsid w:val="00C15A6B"/>
    <w:rsid w:val="00C16577"/>
    <w:rsid w:val="00C20175"/>
    <w:rsid w:val="00C2049D"/>
    <w:rsid w:val="00C225A5"/>
    <w:rsid w:val="00C2366B"/>
    <w:rsid w:val="00C24413"/>
    <w:rsid w:val="00C2495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7FB1"/>
    <w:rsid w:val="00C52BDA"/>
    <w:rsid w:val="00C559F4"/>
    <w:rsid w:val="00C55A94"/>
    <w:rsid w:val="00C572E1"/>
    <w:rsid w:val="00C57D51"/>
    <w:rsid w:val="00C630F2"/>
    <w:rsid w:val="00C63EE9"/>
    <w:rsid w:val="00C650E9"/>
    <w:rsid w:val="00C66897"/>
    <w:rsid w:val="00C7254C"/>
    <w:rsid w:val="00C73AFE"/>
    <w:rsid w:val="00C773D8"/>
    <w:rsid w:val="00C80564"/>
    <w:rsid w:val="00C80F18"/>
    <w:rsid w:val="00C81936"/>
    <w:rsid w:val="00C81DF2"/>
    <w:rsid w:val="00C81E2C"/>
    <w:rsid w:val="00C81F3B"/>
    <w:rsid w:val="00C83C97"/>
    <w:rsid w:val="00C845DC"/>
    <w:rsid w:val="00C84722"/>
    <w:rsid w:val="00C8492D"/>
    <w:rsid w:val="00C8645B"/>
    <w:rsid w:val="00C87796"/>
    <w:rsid w:val="00C91282"/>
    <w:rsid w:val="00C9199E"/>
    <w:rsid w:val="00C9267B"/>
    <w:rsid w:val="00C92C3D"/>
    <w:rsid w:val="00C92E43"/>
    <w:rsid w:val="00C942F0"/>
    <w:rsid w:val="00C96BA3"/>
    <w:rsid w:val="00C973E3"/>
    <w:rsid w:val="00CA4F52"/>
    <w:rsid w:val="00CA5E21"/>
    <w:rsid w:val="00CA75DA"/>
    <w:rsid w:val="00CB044C"/>
    <w:rsid w:val="00CB0504"/>
    <w:rsid w:val="00CB4372"/>
    <w:rsid w:val="00CB5A7C"/>
    <w:rsid w:val="00CC05FC"/>
    <w:rsid w:val="00CC34AB"/>
    <w:rsid w:val="00CC453E"/>
    <w:rsid w:val="00CC6210"/>
    <w:rsid w:val="00CC6AB7"/>
    <w:rsid w:val="00CD010B"/>
    <w:rsid w:val="00CD230D"/>
    <w:rsid w:val="00CD26E8"/>
    <w:rsid w:val="00CD2E36"/>
    <w:rsid w:val="00CD33AC"/>
    <w:rsid w:val="00CD365B"/>
    <w:rsid w:val="00CD3AEE"/>
    <w:rsid w:val="00CD3B26"/>
    <w:rsid w:val="00CD4059"/>
    <w:rsid w:val="00CD5D0C"/>
    <w:rsid w:val="00CD6646"/>
    <w:rsid w:val="00CE05F2"/>
    <w:rsid w:val="00CE09A3"/>
    <w:rsid w:val="00CE255C"/>
    <w:rsid w:val="00CE3C2C"/>
    <w:rsid w:val="00CE4360"/>
    <w:rsid w:val="00CE7545"/>
    <w:rsid w:val="00CE7B9B"/>
    <w:rsid w:val="00CF35F4"/>
    <w:rsid w:val="00CF675E"/>
    <w:rsid w:val="00CF68F9"/>
    <w:rsid w:val="00CF74E1"/>
    <w:rsid w:val="00CF7DAB"/>
    <w:rsid w:val="00D0159B"/>
    <w:rsid w:val="00D0197A"/>
    <w:rsid w:val="00D03E9E"/>
    <w:rsid w:val="00D05D62"/>
    <w:rsid w:val="00D05D8B"/>
    <w:rsid w:val="00D07663"/>
    <w:rsid w:val="00D07AD9"/>
    <w:rsid w:val="00D10B52"/>
    <w:rsid w:val="00D11E5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1014"/>
    <w:rsid w:val="00D42A5D"/>
    <w:rsid w:val="00D4313E"/>
    <w:rsid w:val="00D43C41"/>
    <w:rsid w:val="00D449ED"/>
    <w:rsid w:val="00D44B8C"/>
    <w:rsid w:val="00D45FD5"/>
    <w:rsid w:val="00D46A5E"/>
    <w:rsid w:val="00D46AF6"/>
    <w:rsid w:val="00D5065F"/>
    <w:rsid w:val="00D520E4"/>
    <w:rsid w:val="00D52A8E"/>
    <w:rsid w:val="00D55E22"/>
    <w:rsid w:val="00D56192"/>
    <w:rsid w:val="00D56306"/>
    <w:rsid w:val="00D56D22"/>
    <w:rsid w:val="00D57124"/>
    <w:rsid w:val="00D57DFA"/>
    <w:rsid w:val="00D60F93"/>
    <w:rsid w:val="00D6197D"/>
    <w:rsid w:val="00D6258D"/>
    <w:rsid w:val="00D64952"/>
    <w:rsid w:val="00D6527F"/>
    <w:rsid w:val="00D658E3"/>
    <w:rsid w:val="00D6591E"/>
    <w:rsid w:val="00D66994"/>
    <w:rsid w:val="00D71C66"/>
    <w:rsid w:val="00D7200D"/>
    <w:rsid w:val="00D720F3"/>
    <w:rsid w:val="00D72624"/>
    <w:rsid w:val="00D73FD9"/>
    <w:rsid w:val="00D752BE"/>
    <w:rsid w:val="00D753AA"/>
    <w:rsid w:val="00D76922"/>
    <w:rsid w:val="00D775DC"/>
    <w:rsid w:val="00D80465"/>
    <w:rsid w:val="00D836CA"/>
    <w:rsid w:val="00D85C16"/>
    <w:rsid w:val="00D86FDF"/>
    <w:rsid w:val="00D86FF5"/>
    <w:rsid w:val="00D87FEA"/>
    <w:rsid w:val="00D907EF"/>
    <w:rsid w:val="00D91F56"/>
    <w:rsid w:val="00D91F85"/>
    <w:rsid w:val="00D92E81"/>
    <w:rsid w:val="00D935F9"/>
    <w:rsid w:val="00D938D4"/>
    <w:rsid w:val="00D9503D"/>
    <w:rsid w:val="00D95924"/>
    <w:rsid w:val="00D96227"/>
    <w:rsid w:val="00D979D7"/>
    <w:rsid w:val="00D97A63"/>
    <w:rsid w:val="00D97DA3"/>
    <w:rsid w:val="00DA0C06"/>
    <w:rsid w:val="00DA1D01"/>
    <w:rsid w:val="00DA51CB"/>
    <w:rsid w:val="00DA6B4A"/>
    <w:rsid w:val="00DA7D98"/>
    <w:rsid w:val="00DB0F0F"/>
    <w:rsid w:val="00DB15C8"/>
    <w:rsid w:val="00DB1B62"/>
    <w:rsid w:val="00DB24A2"/>
    <w:rsid w:val="00DB308A"/>
    <w:rsid w:val="00DB44E1"/>
    <w:rsid w:val="00DB662D"/>
    <w:rsid w:val="00DC1A15"/>
    <w:rsid w:val="00DC1D7B"/>
    <w:rsid w:val="00DC3E7B"/>
    <w:rsid w:val="00DC71A1"/>
    <w:rsid w:val="00DC74A5"/>
    <w:rsid w:val="00DD0C2C"/>
    <w:rsid w:val="00DD0EA7"/>
    <w:rsid w:val="00DD1AA4"/>
    <w:rsid w:val="00DD230C"/>
    <w:rsid w:val="00DD2BD0"/>
    <w:rsid w:val="00DD5DC5"/>
    <w:rsid w:val="00DD69DC"/>
    <w:rsid w:val="00DD6C37"/>
    <w:rsid w:val="00DD78A4"/>
    <w:rsid w:val="00DE4C3D"/>
    <w:rsid w:val="00DE4E7F"/>
    <w:rsid w:val="00DE5CC0"/>
    <w:rsid w:val="00DE6765"/>
    <w:rsid w:val="00DE6E75"/>
    <w:rsid w:val="00DE7654"/>
    <w:rsid w:val="00DE7A0E"/>
    <w:rsid w:val="00DE7FD6"/>
    <w:rsid w:val="00DF1585"/>
    <w:rsid w:val="00DF58BB"/>
    <w:rsid w:val="00DF6696"/>
    <w:rsid w:val="00DF70BB"/>
    <w:rsid w:val="00DF75BF"/>
    <w:rsid w:val="00E037B3"/>
    <w:rsid w:val="00E04577"/>
    <w:rsid w:val="00E046ED"/>
    <w:rsid w:val="00E049F5"/>
    <w:rsid w:val="00E068DB"/>
    <w:rsid w:val="00E0696B"/>
    <w:rsid w:val="00E075E2"/>
    <w:rsid w:val="00E11E28"/>
    <w:rsid w:val="00E12DB0"/>
    <w:rsid w:val="00E1528F"/>
    <w:rsid w:val="00E16925"/>
    <w:rsid w:val="00E16FF5"/>
    <w:rsid w:val="00E177D0"/>
    <w:rsid w:val="00E21821"/>
    <w:rsid w:val="00E21991"/>
    <w:rsid w:val="00E22389"/>
    <w:rsid w:val="00E22AB6"/>
    <w:rsid w:val="00E22FB8"/>
    <w:rsid w:val="00E230D0"/>
    <w:rsid w:val="00E32650"/>
    <w:rsid w:val="00E3388E"/>
    <w:rsid w:val="00E345FB"/>
    <w:rsid w:val="00E34D20"/>
    <w:rsid w:val="00E35051"/>
    <w:rsid w:val="00E35097"/>
    <w:rsid w:val="00E45F4B"/>
    <w:rsid w:val="00E50233"/>
    <w:rsid w:val="00E50C66"/>
    <w:rsid w:val="00E51485"/>
    <w:rsid w:val="00E51A07"/>
    <w:rsid w:val="00E55944"/>
    <w:rsid w:val="00E55ABC"/>
    <w:rsid w:val="00E55BDB"/>
    <w:rsid w:val="00E56162"/>
    <w:rsid w:val="00E56639"/>
    <w:rsid w:val="00E574D4"/>
    <w:rsid w:val="00E57B74"/>
    <w:rsid w:val="00E60501"/>
    <w:rsid w:val="00E61A44"/>
    <w:rsid w:val="00E61B20"/>
    <w:rsid w:val="00E638F7"/>
    <w:rsid w:val="00E65320"/>
    <w:rsid w:val="00E667B5"/>
    <w:rsid w:val="00E717A5"/>
    <w:rsid w:val="00E7357D"/>
    <w:rsid w:val="00E74796"/>
    <w:rsid w:val="00E74D03"/>
    <w:rsid w:val="00E75102"/>
    <w:rsid w:val="00E75DE6"/>
    <w:rsid w:val="00E8030D"/>
    <w:rsid w:val="00E822BA"/>
    <w:rsid w:val="00E83583"/>
    <w:rsid w:val="00E841E5"/>
    <w:rsid w:val="00E8629F"/>
    <w:rsid w:val="00E870B6"/>
    <w:rsid w:val="00E87634"/>
    <w:rsid w:val="00E91FC5"/>
    <w:rsid w:val="00E920D8"/>
    <w:rsid w:val="00E92846"/>
    <w:rsid w:val="00E93697"/>
    <w:rsid w:val="00E94A3B"/>
    <w:rsid w:val="00E95081"/>
    <w:rsid w:val="00EA0F8F"/>
    <w:rsid w:val="00EA166B"/>
    <w:rsid w:val="00EA1E1D"/>
    <w:rsid w:val="00EA2004"/>
    <w:rsid w:val="00EA2ABC"/>
    <w:rsid w:val="00EA3C24"/>
    <w:rsid w:val="00EA4465"/>
    <w:rsid w:val="00EA497A"/>
    <w:rsid w:val="00EA5997"/>
    <w:rsid w:val="00EA5E3F"/>
    <w:rsid w:val="00EA5E4B"/>
    <w:rsid w:val="00EA7426"/>
    <w:rsid w:val="00EB04FF"/>
    <w:rsid w:val="00EB0BD0"/>
    <w:rsid w:val="00EB1F08"/>
    <w:rsid w:val="00EB24DE"/>
    <w:rsid w:val="00EB5B01"/>
    <w:rsid w:val="00EB733C"/>
    <w:rsid w:val="00EC14A9"/>
    <w:rsid w:val="00EC29BD"/>
    <w:rsid w:val="00EC565F"/>
    <w:rsid w:val="00EC6CF4"/>
    <w:rsid w:val="00ED066D"/>
    <w:rsid w:val="00ED42D8"/>
    <w:rsid w:val="00ED5501"/>
    <w:rsid w:val="00ED6F8C"/>
    <w:rsid w:val="00EE084A"/>
    <w:rsid w:val="00EE13D3"/>
    <w:rsid w:val="00EE15C1"/>
    <w:rsid w:val="00EE2BDD"/>
    <w:rsid w:val="00EE3E05"/>
    <w:rsid w:val="00EE52FC"/>
    <w:rsid w:val="00EE56F6"/>
    <w:rsid w:val="00EE5B78"/>
    <w:rsid w:val="00EE78ED"/>
    <w:rsid w:val="00EF524E"/>
    <w:rsid w:val="00EF5DA7"/>
    <w:rsid w:val="00EF69DC"/>
    <w:rsid w:val="00F001FA"/>
    <w:rsid w:val="00F00A20"/>
    <w:rsid w:val="00F0252D"/>
    <w:rsid w:val="00F02B54"/>
    <w:rsid w:val="00F035EB"/>
    <w:rsid w:val="00F04044"/>
    <w:rsid w:val="00F04AF0"/>
    <w:rsid w:val="00F05D0B"/>
    <w:rsid w:val="00F05F19"/>
    <w:rsid w:val="00F072D8"/>
    <w:rsid w:val="00F10302"/>
    <w:rsid w:val="00F106D2"/>
    <w:rsid w:val="00F10D3F"/>
    <w:rsid w:val="00F10DF7"/>
    <w:rsid w:val="00F1130C"/>
    <w:rsid w:val="00F11FEF"/>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B8E"/>
    <w:rsid w:val="00F3057B"/>
    <w:rsid w:val="00F31D48"/>
    <w:rsid w:val="00F3253C"/>
    <w:rsid w:val="00F3423B"/>
    <w:rsid w:val="00F34324"/>
    <w:rsid w:val="00F35B54"/>
    <w:rsid w:val="00F364C0"/>
    <w:rsid w:val="00F369D3"/>
    <w:rsid w:val="00F4069C"/>
    <w:rsid w:val="00F415BB"/>
    <w:rsid w:val="00F45267"/>
    <w:rsid w:val="00F455FA"/>
    <w:rsid w:val="00F47598"/>
    <w:rsid w:val="00F50005"/>
    <w:rsid w:val="00F50634"/>
    <w:rsid w:val="00F50643"/>
    <w:rsid w:val="00F5165E"/>
    <w:rsid w:val="00F53BEB"/>
    <w:rsid w:val="00F555DF"/>
    <w:rsid w:val="00F55D21"/>
    <w:rsid w:val="00F5629A"/>
    <w:rsid w:val="00F57369"/>
    <w:rsid w:val="00F60EF8"/>
    <w:rsid w:val="00F61215"/>
    <w:rsid w:val="00F61DE2"/>
    <w:rsid w:val="00F62C9A"/>
    <w:rsid w:val="00F63976"/>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729E"/>
    <w:rsid w:val="00F778EA"/>
    <w:rsid w:val="00F77FE8"/>
    <w:rsid w:val="00F805AE"/>
    <w:rsid w:val="00F80B51"/>
    <w:rsid w:val="00F80E68"/>
    <w:rsid w:val="00F81DBA"/>
    <w:rsid w:val="00F8381E"/>
    <w:rsid w:val="00F838F2"/>
    <w:rsid w:val="00F84364"/>
    <w:rsid w:val="00F844BE"/>
    <w:rsid w:val="00F84BEB"/>
    <w:rsid w:val="00F852DA"/>
    <w:rsid w:val="00F87C10"/>
    <w:rsid w:val="00F902C3"/>
    <w:rsid w:val="00F90D35"/>
    <w:rsid w:val="00F9137A"/>
    <w:rsid w:val="00F9264C"/>
    <w:rsid w:val="00F92E89"/>
    <w:rsid w:val="00F94466"/>
    <w:rsid w:val="00F95BC3"/>
    <w:rsid w:val="00F9767B"/>
    <w:rsid w:val="00F9790A"/>
    <w:rsid w:val="00F97D2C"/>
    <w:rsid w:val="00FA0544"/>
    <w:rsid w:val="00FA0EA2"/>
    <w:rsid w:val="00FA149C"/>
    <w:rsid w:val="00FA1E72"/>
    <w:rsid w:val="00FA2E4F"/>
    <w:rsid w:val="00FA3174"/>
    <w:rsid w:val="00FA35C4"/>
    <w:rsid w:val="00FA36A8"/>
    <w:rsid w:val="00FA3792"/>
    <w:rsid w:val="00FA5C95"/>
    <w:rsid w:val="00FB0BD9"/>
    <w:rsid w:val="00FB2299"/>
    <w:rsid w:val="00FB273E"/>
    <w:rsid w:val="00FB280A"/>
    <w:rsid w:val="00FB324F"/>
    <w:rsid w:val="00FB42DC"/>
    <w:rsid w:val="00FB50AF"/>
    <w:rsid w:val="00FB545C"/>
    <w:rsid w:val="00FB5DB8"/>
    <w:rsid w:val="00FB7738"/>
    <w:rsid w:val="00FC051F"/>
    <w:rsid w:val="00FC06B8"/>
    <w:rsid w:val="00FC0B6E"/>
    <w:rsid w:val="00FC123F"/>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9A"/>
    <w:rsid w:val="00FE30D7"/>
    <w:rsid w:val="00FE3C4C"/>
    <w:rsid w:val="00FE709C"/>
    <w:rsid w:val="00FE76DD"/>
    <w:rsid w:val="00FE7ADC"/>
    <w:rsid w:val="00FF0C15"/>
    <w:rsid w:val="00FF2947"/>
    <w:rsid w:val="00FF380C"/>
    <w:rsid w:val="00FF4498"/>
    <w:rsid w:val="00FF4CE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spacing w:before="240" w:after="180"/>
      <w:ind w:left="432"/>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4"/>
      </w:numPr>
    </w:pPr>
  </w:style>
  <w:style w:type="paragraph" w:customStyle="1" w:styleId="Appendix2">
    <w:name w:val="Appendix 2"/>
    <w:basedOn w:val="Appendix1"/>
    <w:next w:val="Normal"/>
    <w:link w:val="Appendix2Char"/>
    <w:qFormat/>
    <w:rsid w:val="00E177D0"/>
    <w:pPr>
      <w:numPr>
        <w:ilvl w:val="1"/>
        <w:numId w:val="14"/>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6"/>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7"/>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B628CF-7D22-429C-83D4-E68CB782C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1259</Words>
  <Characters>7182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8425</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2019-02-15T22:50:00Z</dcterms:created>
  <dcterms:modified xsi:type="dcterms:W3CDTF">2019-02-15T23:22:00Z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